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73D99" w14:textId="77777777" w:rsidR="00745227" w:rsidRDefault="008471AA">
      <w:pPr>
        <w:pStyle w:val="Heading1"/>
      </w:pPr>
      <w:bookmarkStart w:id="0" w:name="_Toc81468237"/>
      <w:bookmarkStart w:id="1" w:name="_Toc83655022"/>
      <w:bookmarkStart w:id="2" w:name="_Toc83656554"/>
      <w:bookmarkStart w:id="3" w:name="_Toc83731428"/>
      <w:r>
        <w:t>C</w:t>
      </w:r>
      <w:r w:rsidR="00604F6D">
        <w:t xml:space="preserve">all-Off Schedule </w:t>
      </w:r>
      <w:bookmarkEnd w:id="0"/>
      <w:r w:rsidR="00604F6D">
        <w:t>2 (Staff Transfer)</w:t>
      </w:r>
      <w:bookmarkEnd w:id="1"/>
      <w:bookmarkEnd w:id="2"/>
      <w:bookmarkEnd w:id="3"/>
    </w:p>
    <w:p w14:paraId="4F040B9A" w14:textId="77777777" w:rsidR="00745227" w:rsidRDefault="00604F6D">
      <w:pPr>
        <w:pStyle w:val="TOC1"/>
      </w:pPr>
      <w:r>
        <w:rPr>
          <w:rFonts w:cs="Arial"/>
          <w:szCs w:val="22"/>
        </w:rPr>
        <w:fldChar w:fldCharType="begin"/>
      </w:r>
      <w:r>
        <w:instrText xml:space="preserve"> TOC \o "1-3" \u </w:instrText>
      </w:r>
      <w:r>
        <w:rPr>
          <w:rFonts w:cs="Arial"/>
          <w:szCs w:val="22"/>
        </w:rPr>
        <w:fldChar w:fldCharType="separate"/>
      </w:r>
      <w:r>
        <w:t>Call-Off Schedule 2 (Staff Transfer)</w:t>
      </w:r>
      <w:r>
        <w:tab/>
        <w:t>1</w:t>
      </w:r>
    </w:p>
    <w:p w14:paraId="693E0330"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Definitions</w:t>
      </w:r>
      <w:r>
        <w:tab/>
        <w:t>5</w:t>
      </w:r>
    </w:p>
    <w:p w14:paraId="0B0D2607"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Interpretation</w:t>
      </w:r>
      <w:r>
        <w:tab/>
        <w:t>7</w:t>
      </w:r>
    </w:p>
    <w:p w14:paraId="12788900"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Which parts of this Schedule apply</w:t>
      </w:r>
      <w:r>
        <w:tab/>
        <w:t>7</w:t>
      </w:r>
    </w:p>
    <w:p w14:paraId="352C9027" w14:textId="77777777" w:rsidR="00745227" w:rsidRDefault="00604F6D">
      <w:pPr>
        <w:pStyle w:val="TOC2"/>
        <w:tabs>
          <w:tab w:val="right" w:leader="dot" w:pos="9016"/>
        </w:tabs>
      </w:pPr>
      <w:r>
        <w:t>PART A: Staff Transfer at the Start Date</w:t>
      </w:r>
      <w:r>
        <w:tab/>
        <w:t>8</w:t>
      </w:r>
    </w:p>
    <w:p w14:paraId="09A30921" w14:textId="77777777" w:rsidR="00745227" w:rsidRDefault="00604F6D">
      <w:pPr>
        <w:pStyle w:val="TOC3"/>
        <w:tabs>
          <w:tab w:val="right" w:leader="dot" w:pos="9016"/>
        </w:tabs>
      </w:pPr>
      <w:r>
        <w:t>Outsourcing from the Buyer</w:t>
      </w:r>
      <w:r>
        <w:tab/>
        <w:t>8</w:t>
      </w:r>
    </w:p>
    <w:p w14:paraId="4EA1EC1D"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What is a relevant transfer</w:t>
      </w:r>
      <w:r>
        <w:tab/>
        <w:t>8</w:t>
      </w:r>
    </w:p>
    <w:p w14:paraId="34EBE60F"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Indemnities the Buyer must give</w:t>
      </w:r>
      <w:r>
        <w:tab/>
        <w:t>8</w:t>
      </w:r>
    </w:p>
    <w:p w14:paraId="58E598E7"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Indemnities the Supplier must give and its obligations</w:t>
      </w:r>
      <w:r>
        <w:tab/>
        <w:t>9</w:t>
      </w:r>
    </w:p>
    <w:p w14:paraId="7B27AC62" w14:textId="77777777" w:rsidR="00745227" w:rsidRDefault="00604F6D">
      <w:pPr>
        <w:pStyle w:val="TOC3"/>
        <w:tabs>
          <w:tab w:val="right" w:leader="dot" w:pos="880"/>
          <w:tab w:val="right" w:leader="dot" w:pos="9016"/>
        </w:tabs>
      </w:pPr>
      <w:r>
        <w:t>4.</w:t>
      </w:r>
      <w:r>
        <w:rPr>
          <w:rFonts w:ascii="Calibri" w:eastAsia="Times New Roman" w:hAnsi="Calibri" w:cs="Times New Roman"/>
          <w:szCs w:val="22"/>
          <w:lang w:eastAsia="en-GB" w:bidi="ar-SA"/>
        </w:rPr>
        <w:tab/>
      </w:r>
      <w:r>
        <w:t>Information the Supplier must provide</w:t>
      </w:r>
      <w:r>
        <w:tab/>
        <w:t>9</w:t>
      </w:r>
    </w:p>
    <w:p w14:paraId="3C0D1CF8" w14:textId="77777777" w:rsidR="00745227" w:rsidRDefault="00604F6D">
      <w:pPr>
        <w:pStyle w:val="TOC3"/>
        <w:tabs>
          <w:tab w:val="right" w:leader="dot" w:pos="880"/>
          <w:tab w:val="right" w:leader="dot" w:pos="9016"/>
        </w:tabs>
      </w:pPr>
      <w:r>
        <w:t>5.</w:t>
      </w:r>
      <w:r>
        <w:rPr>
          <w:rFonts w:ascii="Calibri" w:eastAsia="Times New Roman" w:hAnsi="Calibri" w:cs="Times New Roman"/>
          <w:szCs w:val="22"/>
          <w:lang w:eastAsia="en-GB" w:bidi="ar-SA"/>
        </w:rPr>
        <w:tab/>
      </w:r>
      <w:r>
        <w:t>Cabinet Office requirements</w:t>
      </w:r>
      <w:r>
        <w:tab/>
        <w:t>10</w:t>
      </w:r>
    </w:p>
    <w:p w14:paraId="5E1D2930" w14:textId="77777777" w:rsidR="00745227" w:rsidRDefault="00604F6D">
      <w:pPr>
        <w:pStyle w:val="TOC3"/>
        <w:tabs>
          <w:tab w:val="right" w:leader="dot" w:pos="880"/>
          <w:tab w:val="right" w:leader="dot" w:pos="9016"/>
        </w:tabs>
      </w:pPr>
      <w:r>
        <w:t>6.</w:t>
      </w:r>
      <w:r>
        <w:rPr>
          <w:rFonts w:ascii="Calibri" w:eastAsia="Times New Roman" w:hAnsi="Calibri" w:cs="Times New Roman"/>
          <w:szCs w:val="22"/>
          <w:lang w:eastAsia="en-GB" w:bidi="ar-SA"/>
        </w:rPr>
        <w:tab/>
      </w:r>
      <w:r>
        <w:t>Pensions</w:t>
      </w:r>
      <w:r>
        <w:tab/>
        <w:t>10</w:t>
      </w:r>
    </w:p>
    <w:p w14:paraId="1FC20123" w14:textId="77777777" w:rsidR="00745227" w:rsidRDefault="00604F6D">
      <w:pPr>
        <w:pStyle w:val="TOC2"/>
        <w:tabs>
          <w:tab w:val="right" w:leader="dot" w:pos="9016"/>
        </w:tabs>
      </w:pPr>
      <w:r>
        <w:t>PART B: Staff transfer at the Start Date</w:t>
      </w:r>
      <w:r>
        <w:tab/>
        <w:t>11</w:t>
      </w:r>
    </w:p>
    <w:p w14:paraId="70B2685D" w14:textId="77777777" w:rsidR="00745227" w:rsidRDefault="00604F6D">
      <w:pPr>
        <w:pStyle w:val="TOC3"/>
        <w:tabs>
          <w:tab w:val="right" w:leader="dot" w:pos="9016"/>
        </w:tabs>
      </w:pPr>
      <w:r>
        <w:t>Transfer from a former Supplier on Re-procurement</w:t>
      </w:r>
      <w:r>
        <w:tab/>
        <w:t>11</w:t>
      </w:r>
    </w:p>
    <w:p w14:paraId="075AB106"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What is a relevant transfer</w:t>
      </w:r>
      <w:r>
        <w:tab/>
        <w:t>11</w:t>
      </w:r>
    </w:p>
    <w:p w14:paraId="3D45E2C2"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Indemnities given by the Former Supplier</w:t>
      </w:r>
      <w:r>
        <w:tab/>
        <w:t>11</w:t>
      </w:r>
    </w:p>
    <w:p w14:paraId="3D19136E"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Indemnities the Supplier must give and its obligations</w:t>
      </w:r>
      <w:r>
        <w:tab/>
        <w:t>12</w:t>
      </w:r>
    </w:p>
    <w:p w14:paraId="060B2C78" w14:textId="77777777" w:rsidR="00745227" w:rsidRDefault="00604F6D">
      <w:pPr>
        <w:pStyle w:val="TOC3"/>
        <w:tabs>
          <w:tab w:val="right" w:leader="dot" w:pos="880"/>
          <w:tab w:val="right" w:leader="dot" w:pos="9016"/>
        </w:tabs>
      </w:pPr>
      <w:r>
        <w:t>4.</w:t>
      </w:r>
      <w:r>
        <w:rPr>
          <w:rFonts w:ascii="Calibri" w:eastAsia="Times New Roman" w:hAnsi="Calibri" w:cs="Times New Roman"/>
          <w:szCs w:val="22"/>
          <w:lang w:eastAsia="en-GB" w:bidi="ar-SA"/>
        </w:rPr>
        <w:tab/>
      </w:r>
      <w:r>
        <w:t>Information the Supplier must give</w:t>
      </w:r>
      <w:r>
        <w:tab/>
        <w:t>13</w:t>
      </w:r>
    </w:p>
    <w:p w14:paraId="75B5B256" w14:textId="77777777" w:rsidR="00745227" w:rsidRDefault="00604F6D">
      <w:pPr>
        <w:pStyle w:val="TOC3"/>
        <w:tabs>
          <w:tab w:val="right" w:leader="dot" w:pos="880"/>
          <w:tab w:val="right" w:leader="dot" w:pos="9016"/>
        </w:tabs>
      </w:pPr>
      <w:r>
        <w:t>5.</w:t>
      </w:r>
      <w:r>
        <w:rPr>
          <w:rFonts w:ascii="Calibri" w:eastAsia="Times New Roman" w:hAnsi="Calibri" w:cs="Times New Roman"/>
          <w:szCs w:val="22"/>
          <w:lang w:eastAsia="en-GB" w:bidi="ar-SA"/>
        </w:rPr>
        <w:tab/>
      </w:r>
      <w:r>
        <w:t>Cabinet Office requirements</w:t>
      </w:r>
      <w:r>
        <w:tab/>
        <w:t>13</w:t>
      </w:r>
    </w:p>
    <w:p w14:paraId="568776AA" w14:textId="77777777" w:rsidR="00745227" w:rsidRDefault="00604F6D">
      <w:pPr>
        <w:pStyle w:val="TOC3"/>
        <w:tabs>
          <w:tab w:val="right" w:leader="dot" w:pos="880"/>
          <w:tab w:val="right" w:leader="dot" w:pos="9016"/>
        </w:tabs>
      </w:pPr>
      <w:r>
        <w:t>6.</w:t>
      </w:r>
      <w:r>
        <w:rPr>
          <w:rFonts w:ascii="Calibri" w:eastAsia="Times New Roman" w:hAnsi="Calibri" w:cs="Times New Roman"/>
          <w:szCs w:val="22"/>
          <w:lang w:eastAsia="en-GB" w:bidi="ar-SA"/>
        </w:rPr>
        <w:tab/>
      </w:r>
      <w:r>
        <w:t>Limits on the Former Supplier’s obligations</w:t>
      </w:r>
      <w:r>
        <w:tab/>
        <w:t>13</w:t>
      </w:r>
    </w:p>
    <w:p w14:paraId="25E0477A" w14:textId="77777777" w:rsidR="00745227" w:rsidRDefault="00604F6D">
      <w:pPr>
        <w:pStyle w:val="TOC3"/>
        <w:tabs>
          <w:tab w:val="right" w:leader="dot" w:pos="880"/>
          <w:tab w:val="right" w:leader="dot" w:pos="9016"/>
        </w:tabs>
      </w:pPr>
      <w:r>
        <w:t>7.</w:t>
      </w:r>
      <w:r>
        <w:rPr>
          <w:rFonts w:ascii="Calibri" w:eastAsia="Times New Roman" w:hAnsi="Calibri" w:cs="Times New Roman"/>
          <w:szCs w:val="22"/>
          <w:lang w:eastAsia="en-GB" w:bidi="ar-SA"/>
        </w:rPr>
        <w:tab/>
      </w:r>
      <w:r>
        <w:t>Pensions</w:t>
      </w:r>
      <w:r>
        <w:tab/>
        <w:t>13</w:t>
      </w:r>
    </w:p>
    <w:p w14:paraId="2822E67E" w14:textId="77777777" w:rsidR="00745227" w:rsidRDefault="00604F6D">
      <w:pPr>
        <w:pStyle w:val="TOC2"/>
        <w:tabs>
          <w:tab w:val="right" w:leader="dot" w:pos="9016"/>
        </w:tabs>
      </w:pPr>
      <w:r>
        <w:t>PART C: No Staff Transfer on the Start Date</w:t>
      </w:r>
      <w:r>
        <w:tab/>
        <w:t>14</w:t>
      </w:r>
    </w:p>
    <w:p w14:paraId="5DF13B13"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What happens if there is a staff transfer</w:t>
      </w:r>
      <w:r>
        <w:tab/>
        <w:t>14</w:t>
      </w:r>
    </w:p>
    <w:p w14:paraId="0A7436CD"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Limits on the Former Supplier’s obligations</w:t>
      </w:r>
      <w:r>
        <w:tab/>
        <w:t>15</w:t>
      </w:r>
    </w:p>
    <w:p w14:paraId="2767035B" w14:textId="77777777" w:rsidR="00745227" w:rsidRDefault="00604F6D">
      <w:pPr>
        <w:pStyle w:val="TOC2"/>
        <w:tabs>
          <w:tab w:val="right" w:leader="dot" w:pos="9016"/>
        </w:tabs>
      </w:pPr>
      <w:r>
        <w:t>PART D: Pensions</w:t>
      </w:r>
      <w:r>
        <w:tab/>
        <w:t>16</w:t>
      </w:r>
    </w:p>
    <w:p w14:paraId="35F88C55"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Definitions</w:t>
      </w:r>
      <w:r>
        <w:tab/>
        <w:t>16</w:t>
      </w:r>
    </w:p>
    <w:p w14:paraId="1B2C5D4A"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Supplier obligations to participate in the pension schemes</w:t>
      </w:r>
      <w:r>
        <w:tab/>
        <w:t>17</w:t>
      </w:r>
    </w:p>
    <w:p w14:paraId="1003B382"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Supplier obligation to provide information</w:t>
      </w:r>
      <w:r>
        <w:tab/>
        <w:t>18</w:t>
      </w:r>
    </w:p>
    <w:p w14:paraId="790A2A9C" w14:textId="77777777" w:rsidR="00745227" w:rsidRDefault="00604F6D">
      <w:pPr>
        <w:pStyle w:val="TOC3"/>
        <w:tabs>
          <w:tab w:val="right" w:leader="dot" w:pos="880"/>
          <w:tab w:val="right" w:leader="dot" w:pos="9016"/>
        </w:tabs>
      </w:pPr>
      <w:r>
        <w:t>4.</w:t>
      </w:r>
      <w:r>
        <w:rPr>
          <w:rFonts w:ascii="Calibri" w:eastAsia="Times New Roman" w:hAnsi="Calibri" w:cs="Times New Roman"/>
          <w:szCs w:val="22"/>
          <w:lang w:eastAsia="en-GB" w:bidi="ar-SA"/>
        </w:rPr>
        <w:tab/>
      </w:r>
      <w:r>
        <w:t>Indemnities the Supplier must give</w:t>
      </w:r>
      <w:r>
        <w:tab/>
        <w:t>18</w:t>
      </w:r>
    </w:p>
    <w:p w14:paraId="16119F35" w14:textId="77777777" w:rsidR="00745227" w:rsidRDefault="00604F6D">
      <w:pPr>
        <w:pStyle w:val="TOC3"/>
        <w:tabs>
          <w:tab w:val="right" w:leader="dot" w:pos="880"/>
          <w:tab w:val="right" w:leader="dot" w:pos="9016"/>
        </w:tabs>
      </w:pPr>
      <w:r>
        <w:t>5.</w:t>
      </w:r>
      <w:r>
        <w:rPr>
          <w:rFonts w:ascii="Calibri" w:eastAsia="Times New Roman" w:hAnsi="Calibri" w:cs="Times New Roman"/>
          <w:szCs w:val="22"/>
          <w:lang w:eastAsia="en-GB" w:bidi="ar-SA"/>
        </w:rPr>
        <w:tab/>
      </w:r>
      <w:r>
        <w:t>What happens if there is a dispute</w:t>
      </w:r>
      <w:r>
        <w:tab/>
        <w:t>19</w:t>
      </w:r>
    </w:p>
    <w:p w14:paraId="3D156389" w14:textId="77777777" w:rsidR="00745227" w:rsidRDefault="00604F6D">
      <w:pPr>
        <w:pStyle w:val="TOC3"/>
        <w:tabs>
          <w:tab w:val="right" w:leader="dot" w:pos="880"/>
          <w:tab w:val="right" w:leader="dot" w:pos="9016"/>
        </w:tabs>
      </w:pPr>
      <w:r>
        <w:t>6.</w:t>
      </w:r>
      <w:r>
        <w:rPr>
          <w:rFonts w:ascii="Calibri" w:eastAsia="Times New Roman" w:hAnsi="Calibri" w:cs="Times New Roman"/>
          <w:szCs w:val="22"/>
          <w:lang w:eastAsia="en-GB" w:bidi="ar-SA"/>
        </w:rPr>
        <w:tab/>
      </w:r>
      <w:r>
        <w:t>Other people’s rights</w:t>
      </w:r>
      <w:r>
        <w:tab/>
        <w:t>19</w:t>
      </w:r>
    </w:p>
    <w:p w14:paraId="789849D8" w14:textId="77777777" w:rsidR="00745227" w:rsidRDefault="00604F6D">
      <w:pPr>
        <w:pStyle w:val="TOC3"/>
        <w:tabs>
          <w:tab w:val="right" w:leader="dot" w:pos="880"/>
          <w:tab w:val="right" w:leader="dot" w:pos="9016"/>
        </w:tabs>
      </w:pPr>
      <w:r>
        <w:t>7.</w:t>
      </w:r>
      <w:r>
        <w:rPr>
          <w:rFonts w:ascii="Calibri" w:eastAsia="Times New Roman" w:hAnsi="Calibri" w:cs="Times New Roman"/>
          <w:szCs w:val="22"/>
          <w:lang w:eastAsia="en-GB" w:bidi="ar-SA"/>
        </w:rPr>
        <w:tab/>
      </w:r>
      <w:r>
        <w:t>What happens if there is a breach of this Part D</w:t>
      </w:r>
      <w:r>
        <w:tab/>
        <w:t>19</w:t>
      </w:r>
    </w:p>
    <w:p w14:paraId="0555E3D3" w14:textId="77777777" w:rsidR="00745227" w:rsidRDefault="00604F6D">
      <w:pPr>
        <w:pStyle w:val="TOC3"/>
        <w:tabs>
          <w:tab w:val="right" w:leader="dot" w:pos="880"/>
          <w:tab w:val="right" w:leader="dot" w:pos="9016"/>
        </w:tabs>
      </w:pPr>
      <w:r>
        <w:t>8.</w:t>
      </w:r>
      <w:r>
        <w:rPr>
          <w:rFonts w:ascii="Calibri" w:eastAsia="Times New Roman" w:hAnsi="Calibri" w:cs="Times New Roman"/>
          <w:szCs w:val="22"/>
          <w:lang w:eastAsia="en-GB" w:bidi="ar-SA"/>
        </w:rPr>
        <w:tab/>
      </w:r>
      <w:r>
        <w:t>Transferring New Fair Deal Employees</w:t>
      </w:r>
      <w:r>
        <w:tab/>
        <w:t>19</w:t>
      </w:r>
    </w:p>
    <w:p w14:paraId="4B11CEF9" w14:textId="77777777" w:rsidR="00745227" w:rsidRDefault="00604F6D">
      <w:pPr>
        <w:pStyle w:val="TOC3"/>
        <w:tabs>
          <w:tab w:val="right" w:leader="dot" w:pos="880"/>
          <w:tab w:val="right" w:leader="dot" w:pos="9016"/>
        </w:tabs>
      </w:pPr>
      <w:r>
        <w:t>9.</w:t>
      </w:r>
      <w:r>
        <w:rPr>
          <w:rFonts w:ascii="Calibri" w:eastAsia="Times New Roman" w:hAnsi="Calibri" w:cs="Times New Roman"/>
          <w:szCs w:val="22"/>
          <w:lang w:eastAsia="en-GB" w:bidi="ar-SA"/>
        </w:rPr>
        <w:tab/>
      </w:r>
      <w:r>
        <w:t>What happens to pensions if this Contract ends</w:t>
      </w:r>
      <w:r>
        <w:tab/>
        <w:t>20</w:t>
      </w:r>
    </w:p>
    <w:p w14:paraId="053DFE94" w14:textId="77777777" w:rsidR="00745227" w:rsidRDefault="00604F6D">
      <w:pPr>
        <w:pStyle w:val="TOC3"/>
        <w:tabs>
          <w:tab w:val="right" w:leader="dot" w:pos="1100"/>
          <w:tab w:val="right" w:leader="dot" w:pos="9016"/>
        </w:tabs>
      </w:pPr>
      <w:r>
        <w:t>10.</w:t>
      </w:r>
      <w:r>
        <w:rPr>
          <w:rFonts w:ascii="Calibri" w:eastAsia="Times New Roman" w:hAnsi="Calibri" w:cs="Times New Roman"/>
          <w:szCs w:val="22"/>
          <w:lang w:eastAsia="en-GB" w:bidi="ar-SA"/>
        </w:rPr>
        <w:tab/>
      </w:r>
      <w:r>
        <w:t>Broadly Comparable Pension Schemes</w:t>
      </w:r>
      <w:r>
        <w:tab/>
        <w:t>20</w:t>
      </w:r>
    </w:p>
    <w:p w14:paraId="365C1842" w14:textId="77777777" w:rsidR="00745227" w:rsidRDefault="00604F6D">
      <w:pPr>
        <w:pStyle w:val="TOC2"/>
        <w:tabs>
          <w:tab w:val="right" w:leader="dot" w:pos="9016"/>
        </w:tabs>
      </w:pPr>
      <w:r>
        <w:t>Annex D1: Civil Service Pensions Schemes (CSPS)</w:t>
      </w:r>
      <w:r>
        <w:tab/>
        <w:t>22</w:t>
      </w:r>
    </w:p>
    <w:p w14:paraId="061B6110"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Definitions</w:t>
      </w:r>
      <w:r>
        <w:tab/>
        <w:t>22</w:t>
      </w:r>
    </w:p>
    <w:p w14:paraId="6367686B" w14:textId="77777777" w:rsidR="00745227" w:rsidRDefault="00604F6D">
      <w:pPr>
        <w:pStyle w:val="TOC3"/>
        <w:tabs>
          <w:tab w:val="right" w:leader="dot" w:pos="880"/>
          <w:tab w:val="right" w:leader="dot" w:pos="9016"/>
        </w:tabs>
      </w:pPr>
      <w:r>
        <w:lastRenderedPageBreak/>
        <w:t>2.</w:t>
      </w:r>
      <w:r>
        <w:rPr>
          <w:rFonts w:ascii="Calibri" w:eastAsia="Times New Roman" w:hAnsi="Calibri" w:cs="Times New Roman"/>
          <w:szCs w:val="22"/>
          <w:lang w:eastAsia="en-GB" w:bidi="ar-SA"/>
        </w:rPr>
        <w:tab/>
      </w:r>
      <w:r>
        <w:t>Access to equivalent pension schemes after transfer</w:t>
      </w:r>
      <w:r>
        <w:tab/>
        <w:t>22</w:t>
      </w:r>
    </w:p>
    <w:p w14:paraId="111DC743" w14:textId="77777777" w:rsidR="00745227" w:rsidRDefault="00604F6D">
      <w:pPr>
        <w:pStyle w:val="TOC2"/>
        <w:tabs>
          <w:tab w:val="right" w:leader="dot" w:pos="9016"/>
        </w:tabs>
      </w:pPr>
      <w:r>
        <w:t>Annex D2: NHS Pension Schemes</w:t>
      </w:r>
      <w:r>
        <w:tab/>
        <w:t>23</w:t>
      </w:r>
    </w:p>
    <w:p w14:paraId="3E720884"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Definitions</w:t>
      </w:r>
      <w:r>
        <w:tab/>
        <w:t>23</w:t>
      </w:r>
    </w:p>
    <w:p w14:paraId="37BD8C1E"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Membership of the NHS Pension Scheme</w:t>
      </w:r>
      <w:r>
        <w:tab/>
        <w:t>25</w:t>
      </w:r>
    </w:p>
    <w:p w14:paraId="7DB51E68"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Access to NHS Pension Schemes after transfer</w:t>
      </w:r>
      <w:r>
        <w:tab/>
        <w:t>26</w:t>
      </w:r>
    </w:p>
    <w:p w14:paraId="285C6EDF" w14:textId="77777777" w:rsidR="00745227" w:rsidRDefault="00604F6D">
      <w:pPr>
        <w:pStyle w:val="TOC3"/>
        <w:tabs>
          <w:tab w:val="right" w:leader="dot" w:pos="880"/>
          <w:tab w:val="right" w:leader="dot" w:pos="9016"/>
        </w:tabs>
      </w:pPr>
      <w:r>
        <w:t>4.</w:t>
      </w:r>
      <w:r>
        <w:rPr>
          <w:rFonts w:ascii="Calibri" w:eastAsia="Times New Roman" w:hAnsi="Calibri" w:cs="Times New Roman"/>
          <w:szCs w:val="22"/>
          <w:lang w:eastAsia="en-GB" w:bidi="ar-SA"/>
        </w:rPr>
        <w:tab/>
      </w:r>
      <w:r>
        <w:t>Continuation of early retirement rights after transfer</w:t>
      </w:r>
      <w:r>
        <w:tab/>
        <w:t>26</w:t>
      </w:r>
    </w:p>
    <w:p w14:paraId="7D163AD9" w14:textId="77777777" w:rsidR="00745227" w:rsidRDefault="00604F6D">
      <w:pPr>
        <w:pStyle w:val="TOC3"/>
        <w:tabs>
          <w:tab w:val="right" w:leader="dot" w:pos="880"/>
          <w:tab w:val="right" w:leader="dot" w:pos="9016"/>
        </w:tabs>
      </w:pPr>
      <w:r>
        <w:t>5.</w:t>
      </w:r>
      <w:r>
        <w:rPr>
          <w:rFonts w:ascii="Calibri" w:eastAsia="Times New Roman" w:hAnsi="Calibri" w:cs="Times New Roman"/>
          <w:szCs w:val="22"/>
          <w:lang w:eastAsia="en-GB" w:bidi="ar-SA"/>
        </w:rPr>
        <w:tab/>
      </w:r>
      <w:r>
        <w:t>What the buyer will do if the Supplier breaches its pension obligations</w:t>
      </w:r>
      <w:r>
        <w:tab/>
        <w:t>26</w:t>
      </w:r>
    </w:p>
    <w:p w14:paraId="58DC8EDE" w14:textId="77777777" w:rsidR="00745227" w:rsidRDefault="00604F6D">
      <w:pPr>
        <w:pStyle w:val="TOC3"/>
        <w:tabs>
          <w:tab w:val="right" w:leader="dot" w:pos="880"/>
          <w:tab w:val="right" w:leader="dot" w:pos="9016"/>
        </w:tabs>
      </w:pPr>
      <w:r>
        <w:t>6.</w:t>
      </w:r>
      <w:r>
        <w:rPr>
          <w:rFonts w:ascii="Calibri" w:eastAsia="Times New Roman" w:hAnsi="Calibri" w:cs="Times New Roman"/>
          <w:szCs w:val="22"/>
          <w:lang w:eastAsia="en-GB" w:bidi="ar-SA"/>
        </w:rPr>
        <w:tab/>
      </w:r>
      <w:r>
        <w:t>Compensation when pension scheme access can’t be provided</w:t>
      </w:r>
      <w:r>
        <w:tab/>
        <w:t>27</w:t>
      </w:r>
    </w:p>
    <w:p w14:paraId="2061B431" w14:textId="77777777" w:rsidR="00745227" w:rsidRDefault="00604F6D">
      <w:pPr>
        <w:pStyle w:val="TOC3"/>
        <w:tabs>
          <w:tab w:val="right" w:leader="dot" w:pos="880"/>
          <w:tab w:val="right" w:leader="dot" w:pos="9016"/>
        </w:tabs>
      </w:pPr>
      <w:r>
        <w:t>7.</w:t>
      </w:r>
      <w:r>
        <w:rPr>
          <w:rFonts w:ascii="Calibri" w:eastAsia="Times New Roman" w:hAnsi="Calibri" w:cs="Times New Roman"/>
          <w:szCs w:val="22"/>
          <w:lang w:eastAsia="en-GB" w:bidi="ar-SA"/>
        </w:rPr>
        <w:tab/>
      </w:r>
      <w:r>
        <w:t>Indemnities that a Supplier must give</w:t>
      </w:r>
      <w:r>
        <w:tab/>
        <w:t>27</w:t>
      </w:r>
    </w:p>
    <w:p w14:paraId="5F4A7199" w14:textId="77777777" w:rsidR="00745227" w:rsidRDefault="00604F6D">
      <w:pPr>
        <w:pStyle w:val="TOC3"/>
        <w:tabs>
          <w:tab w:val="right" w:leader="dot" w:pos="880"/>
          <w:tab w:val="right" w:leader="dot" w:pos="9016"/>
        </w:tabs>
      </w:pPr>
      <w:r>
        <w:t>8.</w:t>
      </w:r>
      <w:r>
        <w:rPr>
          <w:rFonts w:ascii="Calibri" w:eastAsia="Times New Roman" w:hAnsi="Calibri" w:cs="Times New Roman"/>
          <w:szCs w:val="22"/>
          <w:lang w:eastAsia="en-GB" w:bidi="ar-SA"/>
        </w:rPr>
        <w:tab/>
      </w:r>
      <w:r>
        <w:t>Sub-Contractors</w:t>
      </w:r>
      <w:r>
        <w:tab/>
        <w:t>27</w:t>
      </w:r>
    </w:p>
    <w:p w14:paraId="45F4E475" w14:textId="77777777" w:rsidR="00745227" w:rsidRDefault="00604F6D">
      <w:pPr>
        <w:pStyle w:val="TOC2"/>
        <w:tabs>
          <w:tab w:val="right" w:leader="dot" w:pos="9016"/>
        </w:tabs>
      </w:pPr>
      <w:r>
        <w:t>Annex D3:</w:t>
      </w:r>
      <w:r>
        <w:tab/>
        <w:t>29</w:t>
      </w:r>
    </w:p>
    <w:p w14:paraId="5EED293B" w14:textId="77777777" w:rsidR="00745227" w:rsidRDefault="00604F6D">
      <w:pPr>
        <w:pStyle w:val="TOC2"/>
        <w:tabs>
          <w:tab w:val="right" w:leader="dot" w:pos="9016"/>
        </w:tabs>
      </w:pPr>
      <w:r>
        <w:t>Local Government Pension Schemes (LGPS)</w:t>
      </w:r>
      <w:r>
        <w:tab/>
        <w:t>29</w:t>
      </w:r>
    </w:p>
    <w:p w14:paraId="4B539646"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Definitions</w:t>
      </w:r>
      <w:r>
        <w:tab/>
        <w:t>29</w:t>
      </w:r>
    </w:p>
    <w:p w14:paraId="60B8CD1A"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Supplier must become a LGPS admission body</w:t>
      </w:r>
      <w:r>
        <w:tab/>
        <w:t>30</w:t>
      </w:r>
    </w:p>
    <w:p w14:paraId="2CA137D6" w14:textId="77777777" w:rsidR="00745227" w:rsidRDefault="00604F6D">
      <w:pPr>
        <w:pStyle w:val="TOC3"/>
        <w:tabs>
          <w:tab w:val="right" w:leader="dot" w:pos="880"/>
          <w:tab w:val="right" w:leader="dot" w:pos="9016"/>
        </w:tabs>
      </w:pPr>
      <w:r>
        <w:t>3.</w:t>
      </w:r>
      <w:r>
        <w:rPr>
          <w:rFonts w:ascii="Calibri" w:eastAsia="Times New Roman" w:hAnsi="Calibri" w:cs="Times New Roman"/>
          <w:szCs w:val="22"/>
          <w:lang w:eastAsia="en-GB" w:bidi="ar-SA"/>
        </w:rPr>
        <w:tab/>
      </w:r>
      <w:r>
        <w:t>Right of set-off</w:t>
      </w:r>
      <w:r>
        <w:tab/>
        <w:t>30</w:t>
      </w:r>
    </w:p>
    <w:p w14:paraId="3FE7DAF8" w14:textId="77777777" w:rsidR="00745227" w:rsidRDefault="00604F6D">
      <w:pPr>
        <w:pStyle w:val="TOC3"/>
        <w:tabs>
          <w:tab w:val="right" w:leader="dot" w:pos="880"/>
          <w:tab w:val="right" w:leader="dot" w:pos="9016"/>
        </w:tabs>
      </w:pPr>
      <w:r>
        <w:t>4.</w:t>
      </w:r>
      <w:r>
        <w:rPr>
          <w:rFonts w:ascii="Calibri" w:eastAsia="Times New Roman" w:hAnsi="Calibri" w:cs="Times New Roman"/>
          <w:szCs w:val="22"/>
          <w:lang w:eastAsia="en-GB" w:bidi="ar-SA"/>
        </w:rPr>
        <w:tab/>
      </w:r>
      <w:r>
        <w:t>Supplier ceases to be an LGPS Admission Body</w:t>
      </w:r>
      <w:r>
        <w:tab/>
        <w:t>30</w:t>
      </w:r>
    </w:p>
    <w:p w14:paraId="3CC827D9" w14:textId="77777777" w:rsidR="00745227" w:rsidRDefault="00604F6D">
      <w:pPr>
        <w:pStyle w:val="TOC3"/>
        <w:tabs>
          <w:tab w:val="right" w:leader="dot" w:pos="880"/>
          <w:tab w:val="right" w:leader="dot" w:pos="9016"/>
        </w:tabs>
      </w:pPr>
      <w:r>
        <w:t>5.</w:t>
      </w:r>
      <w:r>
        <w:rPr>
          <w:rFonts w:ascii="Calibri" w:eastAsia="Times New Roman" w:hAnsi="Calibri" w:cs="Times New Roman"/>
          <w:szCs w:val="22"/>
          <w:lang w:eastAsia="en-GB" w:bidi="ar-SA"/>
        </w:rPr>
        <w:tab/>
      </w:r>
      <w:r>
        <w:t>Discretionary benefits</w:t>
      </w:r>
      <w:r>
        <w:tab/>
        <w:t>30</w:t>
      </w:r>
    </w:p>
    <w:p w14:paraId="65AD7BCF" w14:textId="77777777" w:rsidR="00745227" w:rsidRDefault="00604F6D">
      <w:pPr>
        <w:pStyle w:val="TOC2"/>
        <w:tabs>
          <w:tab w:val="right" w:leader="dot" w:pos="9016"/>
        </w:tabs>
      </w:pPr>
      <w:r>
        <w:t>Annex D4: Other Schemes</w:t>
      </w:r>
      <w:r>
        <w:tab/>
        <w:t>31</w:t>
      </w:r>
    </w:p>
    <w:p w14:paraId="4B739515" w14:textId="77777777" w:rsidR="00745227" w:rsidRDefault="00604F6D">
      <w:pPr>
        <w:pStyle w:val="TOC2"/>
        <w:tabs>
          <w:tab w:val="right" w:leader="dot" w:pos="9016"/>
        </w:tabs>
      </w:pPr>
      <w:r>
        <w:t>PART E: Staff Transfer on Exit</w:t>
      </w:r>
      <w:r>
        <w:tab/>
        <w:t>32</w:t>
      </w:r>
    </w:p>
    <w:p w14:paraId="2C2B1B26" w14:textId="77777777" w:rsidR="00745227" w:rsidRDefault="00604F6D">
      <w:pPr>
        <w:pStyle w:val="TOC3"/>
        <w:tabs>
          <w:tab w:val="right" w:leader="dot" w:pos="880"/>
          <w:tab w:val="right" w:leader="dot" w:pos="9016"/>
        </w:tabs>
      </w:pPr>
      <w:r>
        <w:t>1.</w:t>
      </w:r>
      <w:r>
        <w:rPr>
          <w:rFonts w:ascii="Calibri" w:eastAsia="Times New Roman" w:hAnsi="Calibri" w:cs="Times New Roman"/>
          <w:szCs w:val="22"/>
          <w:lang w:eastAsia="en-GB" w:bidi="ar-SA"/>
        </w:rPr>
        <w:tab/>
      </w:r>
      <w:r>
        <w:t>Obligations before a Staff Transfer</w:t>
      </w:r>
      <w:r>
        <w:tab/>
        <w:t>32</w:t>
      </w:r>
    </w:p>
    <w:p w14:paraId="0CBD5674" w14:textId="77777777" w:rsidR="00745227" w:rsidRDefault="00604F6D">
      <w:pPr>
        <w:pStyle w:val="TOC3"/>
        <w:tabs>
          <w:tab w:val="right" w:leader="dot" w:pos="880"/>
          <w:tab w:val="right" w:leader="dot" w:pos="9016"/>
        </w:tabs>
      </w:pPr>
      <w:r>
        <w:t>2.</w:t>
      </w:r>
      <w:r>
        <w:rPr>
          <w:rFonts w:ascii="Calibri" w:eastAsia="Times New Roman" w:hAnsi="Calibri" w:cs="Times New Roman"/>
          <w:szCs w:val="22"/>
          <w:lang w:eastAsia="en-GB" w:bidi="ar-SA"/>
        </w:rPr>
        <w:tab/>
      </w:r>
      <w:r>
        <w:t>Staff Transfer when the contract ends</w:t>
      </w:r>
      <w:r>
        <w:tab/>
        <w:t>35</w:t>
      </w:r>
    </w:p>
    <w:p w14:paraId="77F4EAFE" w14:textId="77777777" w:rsidR="00216D74" w:rsidRDefault="00604F6D" w:rsidP="00216D74">
      <w:pPr>
        <w:pStyle w:val="Heading3"/>
        <w:ind w:left="567"/>
        <w:rPr>
          <w:rFonts w:cs="Mangal"/>
          <w:szCs w:val="20"/>
        </w:rPr>
      </w:pPr>
      <w:r>
        <w:rPr>
          <w:rFonts w:cs="Mangal"/>
          <w:szCs w:val="20"/>
        </w:rPr>
        <w:fldChar w:fldCharType="end"/>
      </w:r>
      <w:bookmarkStart w:id="4" w:name="_Toc83656555"/>
      <w:bookmarkStart w:id="5" w:name="_Toc83731429"/>
    </w:p>
    <w:p w14:paraId="2678AB50" w14:textId="77777777" w:rsidR="00216D74" w:rsidRDefault="00216D74">
      <w:pPr>
        <w:widowControl w:val="0"/>
        <w:suppressAutoHyphens w:val="0"/>
        <w:rPr>
          <w:rFonts w:eastAsia="F" w:cs="Mangal"/>
          <w:b/>
          <w:color w:val="000000"/>
          <w:sz w:val="24"/>
          <w:szCs w:val="20"/>
        </w:rPr>
      </w:pPr>
      <w:r>
        <w:rPr>
          <w:rFonts w:cs="Mangal"/>
          <w:szCs w:val="20"/>
        </w:rPr>
        <w:br w:type="page"/>
      </w:r>
    </w:p>
    <w:p w14:paraId="2B5F65A8" w14:textId="09E80E49" w:rsidR="00745227" w:rsidRDefault="00604F6D" w:rsidP="00216D74">
      <w:pPr>
        <w:pStyle w:val="Heading3"/>
        <w:numPr>
          <w:ilvl w:val="0"/>
          <w:numId w:val="58"/>
        </w:numPr>
        <w:ind w:left="567" w:hanging="567"/>
      </w:pPr>
      <w:r>
        <w:lastRenderedPageBreak/>
        <w:t>Definitions</w:t>
      </w:r>
      <w:bookmarkEnd w:id="4"/>
      <w:bookmarkEnd w:id="5"/>
    </w:p>
    <w:p w14:paraId="05CBA5E4" w14:textId="77777777" w:rsidR="00745227" w:rsidRDefault="00604F6D">
      <w:pPr>
        <w:pStyle w:val="Standard"/>
        <w:numPr>
          <w:ilvl w:val="1"/>
          <w:numId w:val="58"/>
        </w:numPr>
        <w:ind w:left="1134" w:hanging="567"/>
      </w:pPr>
      <w:r>
        <w:t>In this Schedule, the following words have the following meanings and they shall supplement Joint Schedule 1 (Definitions):</w:t>
      </w:r>
    </w:p>
    <w:tbl>
      <w:tblPr>
        <w:tblW w:w="8072" w:type="dxa"/>
        <w:tblInd w:w="1134" w:type="dxa"/>
        <w:tblCellMar>
          <w:left w:w="10" w:type="dxa"/>
          <w:right w:w="10" w:type="dxa"/>
        </w:tblCellMar>
        <w:tblLook w:val="0000" w:firstRow="0" w:lastRow="0" w:firstColumn="0" w:lastColumn="0" w:noHBand="0" w:noVBand="0"/>
      </w:tblPr>
      <w:tblGrid>
        <w:gridCol w:w="1843"/>
        <w:gridCol w:w="6229"/>
      </w:tblGrid>
      <w:tr w:rsidR="00745227" w14:paraId="3B6FC51C" w14:textId="77777777">
        <w:trPr>
          <w:trHeight w:val="315"/>
        </w:trPr>
        <w:tc>
          <w:tcPr>
            <w:tcW w:w="1843" w:type="dxa"/>
            <w:shd w:val="clear" w:color="auto" w:fill="auto"/>
            <w:tcMar>
              <w:top w:w="30" w:type="dxa"/>
              <w:left w:w="45" w:type="dxa"/>
              <w:bottom w:w="30" w:type="dxa"/>
              <w:right w:w="45" w:type="dxa"/>
            </w:tcMar>
          </w:tcPr>
          <w:p w14:paraId="70A7D6B8" w14:textId="77777777" w:rsidR="00745227" w:rsidRDefault="00604F6D">
            <w:pPr>
              <w:spacing w:after="240"/>
              <w:textAlignment w:val="auto"/>
              <w:rPr>
                <w:rFonts w:eastAsia="Times New Roman"/>
                <w:b/>
                <w:bCs/>
                <w:lang w:eastAsia="en-GB" w:bidi="ar-SA"/>
              </w:rPr>
            </w:pPr>
            <w:r>
              <w:rPr>
                <w:rFonts w:eastAsia="Times New Roman"/>
                <w:b/>
                <w:bCs/>
                <w:lang w:eastAsia="en-GB" w:bidi="ar-SA"/>
              </w:rPr>
              <w:t>"Employee Liability"</w:t>
            </w:r>
          </w:p>
        </w:tc>
        <w:tc>
          <w:tcPr>
            <w:tcW w:w="6229" w:type="dxa"/>
            <w:shd w:val="clear" w:color="auto" w:fill="auto"/>
            <w:tcMar>
              <w:top w:w="30" w:type="dxa"/>
              <w:left w:w="0" w:type="dxa"/>
              <w:bottom w:w="30" w:type="dxa"/>
              <w:right w:w="0" w:type="dxa"/>
            </w:tcMar>
          </w:tcPr>
          <w:p w14:paraId="71E54834" w14:textId="77777777" w:rsidR="00745227" w:rsidRDefault="00604F6D">
            <w:pPr>
              <w:spacing w:after="240"/>
              <w:textAlignment w:val="auto"/>
              <w:rPr>
                <w:rFonts w:eastAsia="Times New Roman"/>
                <w:lang w:eastAsia="en-GB" w:bidi="ar-SA"/>
              </w:rPr>
            </w:pPr>
            <w:r>
              <w:rPr>
                <w:rFonts w:eastAsia="Times New Roman"/>
                <w:lang w:eastAsia="en-GB" w:bidi="ar-SA"/>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40FDA5F"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redundancy payments including contractual or enhanced redundancy costs, termination costs and notice payments;</w:t>
            </w:r>
          </w:p>
          <w:p w14:paraId="6F391C24"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unfair, wrongful or constructive dismissal compensation;</w:t>
            </w:r>
          </w:p>
          <w:p w14:paraId="7CF982AB"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compensation for discrimination on grounds of sex, race, disability, age, religion or belief, gender reassignment, marriage or civil partnership, pregnancy and maternity or sexual orientation or claims for equal pay;</w:t>
            </w:r>
          </w:p>
          <w:p w14:paraId="0B16C20D"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compensation for less favourable treatment of part-time workers or fixed term employees;</w:t>
            </w:r>
          </w:p>
          <w:p w14:paraId="031F1DCE"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outstanding debts and unlawful deduction of wages including any PAYE and National Insurance and also including any payments arising in respect of pensions;</w:t>
            </w:r>
          </w:p>
          <w:p w14:paraId="5BC71A56" w14:textId="77777777" w:rsidR="00745227" w:rsidRDefault="00604F6D">
            <w:pPr>
              <w:pStyle w:val="ListParagraph"/>
              <w:numPr>
                <w:ilvl w:val="0"/>
                <w:numId w:val="59"/>
              </w:numPr>
              <w:spacing w:after="240"/>
              <w:textAlignment w:val="auto"/>
              <w:rPr>
                <w:rFonts w:eastAsia="Times New Roman"/>
                <w:lang w:eastAsia="en-GB" w:bidi="ar-SA"/>
              </w:rPr>
            </w:pPr>
            <w:r>
              <w:rPr>
                <w:rFonts w:eastAsia="Times New Roman"/>
                <w:lang w:eastAsia="en-GB" w:bidi="ar-SA"/>
              </w:rPr>
              <w:t>claims whether in tort, contract or statute or otherwise;</w:t>
            </w:r>
          </w:p>
          <w:p w14:paraId="004A3F6C" w14:textId="77777777" w:rsidR="00745227" w:rsidRDefault="00604F6D">
            <w:pPr>
              <w:spacing w:after="240"/>
              <w:ind w:left="360"/>
              <w:textAlignment w:val="auto"/>
              <w:rPr>
                <w:rFonts w:eastAsia="Times New Roman"/>
                <w:lang w:eastAsia="en-GB" w:bidi="ar-SA"/>
              </w:rPr>
            </w:pPr>
            <w:r>
              <w:rPr>
                <w:rFonts w:eastAsia="Times New Roman"/>
                <w:lang w:eastAsia="en-GB" w:bidi="ar-SA"/>
              </w:rPr>
              <w:t>any investigation by the Equality and Human Rights Commission or other enforcement, regulatory or supervisory body and of implementing any requirements which may arise from such investigation;</w:t>
            </w:r>
          </w:p>
        </w:tc>
      </w:tr>
      <w:tr w:rsidR="00745227" w14:paraId="3699ADB4" w14:textId="77777777">
        <w:trPr>
          <w:trHeight w:val="315"/>
        </w:trPr>
        <w:tc>
          <w:tcPr>
            <w:tcW w:w="1843" w:type="dxa"/>
            <w:shd w:val="clear" w:color="auto" w:fill="auto"/>
            <w:tcMar>
              <w:top w:w="30" w:type="dxa"/>
              <w:left w:w="45" w:type="dxa"/>
              <w:bottom w:w="30" w:type="dxa"/>
              <w:right w:w="45" w:type="dxa"/>
            </w:tcMar>
          </w:tcPr>
          <w:p w14:paraId="49E9A9D3" w14:textId="77777777" w:rsidR="00745227" w:rsidRDefault="00604F6D">
            <w:pPr>
              <w:spacing w:after="240"/>
              <w:textAlignment w:val="auto"/>
              <w:rPr>
                <w:rFonts w:eastAsia="Times New Roman"/>
                <w:b/>
                <w:bCs/>
                <w:lang w:eastAsia="en-GB" w:bidi="ar-SA"/>
              </w:rPr>
            </w:pPr>
            <w:r>
              <w:rPr>
                <w:rFonts w:eastAsia="Times New Roman"/>
                <w:b/>
                <w:bCs/>
                <w:lang w:eastAsia="en-GB" w:bidi="ar-SA"/>
              </w:rPr>
              <w:t>"Former Supplier"</w:t>
            </w:r>
          </w:p>
        </w:tc>
        <w:tc>
          <w:tcPr>
            <w:tcW w:w="6229" w:type="dxa"/>
            <w:shd w:val="clear" w:color="auto" w:fill="auto"/>
            <w:tcMar>
              <w:top w:w="30" w:type="dxa"/>
              <w:left w:w="0" w:type="dxa"/>
              <w:bottom w:w="30" w:type="dxa"/>
              <w:right w:w="0" w:type="dxa"/>
            </w:tcMar>
          </w:tcPr>
          <w:p w14:paraId="2424E609" w14:textId="77777777" w:rsidR="00745227" w:rsidRDefault="00604F6D">
            <w:pPr>
              <w:spacing w:after="240"/>
              <w:textAlignment w:val="auto"/>
              <w:rPr>
                <w:rFonts w:eastAsia="Times New Roman"/>
                <w:lang w:eastAsia="en-GB" w:bidi="ar-SA"/>
              </w:rPr>
            </w:pPr>
            <w:r>
              <w:rPr>
                <w:rFonts w:eastAsia="Times New Roman"/>
                <w:lang w:eastAsia="en-GB" w:bidi="ar-SA"/>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745227" w14:paraId="29EABCA2" w14:textId="77777777">
        <w:trPr>
          <w:trHeight w:val="315"/>
        </w:trPr>
        <w:tc>
          <w:tcPr>
            <w:tcW w:w="1843" w:type="dxa"/>
            <w:shd w:val="clear" w:color="auto" w:fill="auto"/>
            <w:tcMar>
              <w:top w:w="30" w:type="dxa"/>
              <w:left w:w="45" w:type="dxa"/>
              <w:bottom w:w="30" w:type="dxa"/>
              <w:right w:w="45" w:type="dxa"/>
            </w:tcMar>
          </w:tcPr>
          <w:p w14:paraId="40A9A257" w14:textId="77777777" w:rsidR="00745227" w:rsidRDefault="00604F6D">
            <w:pPr>
              <w:spacing w:after="240"/>
              <w:textAlignment w:val="auto"/>
              <w:rPr>
                <w:rFonts w:eastAsia="Times New Roman"/>
                <w:b/>
                <w:bCs/>
                <w:lang w:eastAsia="en-GB" w:bidi="ar-SA"/>
              </w:rPr>
            </w:pPr>
            <w:r>
              <w:rPr>
                <w:rFonts w:eastAsia="Times New Roman"/>
                <w:b/>
                <w:bCs/>
                <w:lang w:eastAsia="en-GB" w:bidi="ar-SA"/>
              </w:rPr>
              <w:t>"Partial Termination"</w:t>
            </w:r>
          </w:p>
        </w:tc>
        <w:tc>
          <w:tcPr>
            <w:tcW w:w="6229" w:type="dxa"/>
            <w:shd w:val="clear" w:color="auto" w:fill="auto"/>
            <w:tcMar>
              <w:top w:w="30" w:type="dxa"/>
              <w:left w:w="0" w:type="dxa"/>
              <w:bottom w:w="30" w:type="dxa"/>
              <w:right w:w="0" w:type="dxa"/>
            </w:tcMar>
          </w:tcPr>
          <w:p w14:paraId="46C5B62D" w14:textId="77777777" w:rsidR="00745227" w:rsidRDefault="00604F6D">
            <w:pPr>
              <w:spacing w:after="240"/>
              <w:textAlignment w:val="auto"/>
              <w:rPr>
                <w:rFonts w:eastAsia="Times New Roman"/>
                <w:lang w:eastAsia="en-GB" w:bidi="ar-SA"/>
              </w:rPr>
            </w:pPr>
            <w:r>
              <w:rPr>
                <w:rFonts w:eastAsia="Times New Roman"/>
                <w:lang w:eastAsia="en-GB" w:bidi="ar-SA"/>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745227" w14:paraId="0B4B3BFB" w14:textId="77777777">
        <w:trPr>
          <w:trHeight w:val="315"/>
        </w:trPr>
        <w:tc>
          <w:tcPr>
            <w:tcW w:w="1843" w:type="dxa"/>
            <w:shd w:val="clear" w:color="auto" w:fill="auto"/>
            <w:tcMar>
              <w:top w:w="30" w:type="dxa"/>
              <w:left w:w="45" w:type="dxa"/>
              <w:bottom w:w="30" w:type="dxa"/>
              <w:right w:w="45" w:type="dxa"/>
            </w:tcMar>
          </w:tcPr>
          <w:p w14:paraId="2D5355FD" w14:textId="77777777" w:rsidR="00745227" w:rsidRDefault="00604F6D">
            <w:pPr>
              <w:spacing w:after="240"/>
              <w:textAlignment w:val="auto"/>
              <w:rPr>
                <w:rFonts w:eastAsia="Times New Roman"/>
                <w:b/>
                <w:bCs/>
                <w:lang w:eastAsia="en-GB" w:bidi="ar-SA"/>
              </w:rPr>
            </w:pPr>
            <w:r>
              <w:rPr>
                <w:rFonts w:eastAsia="Times New Roman"/>
                <w:b/>
                <w:bCs/>
                <w:lang w:eastAsia="en-GB" w:bidi="ar-SA"/>
              </w:rPr>
              <w:t>"Relevant Transfer"</w:t>
            </w:r>
          </w:p>
        </w:tc>
        <w:tc>
          <w:tcPr>
            <w:tcW w:w="6229" w:type="dxa"/>
            <w:shd w:val="clear" w:color="auto" w:fill="auto"/>
            <w:tcMar>
              <w:top w:w="30" w:type="dxa"/>
              <w:left w:w="0" w:type="dxa"/>
              <w:bottom w:w="30" w:type="dxa"/>
              <w:right w:w="0" w:type="dxa"/>
            </w:tcMar>
          </w:tcPr>
          <w:p w14:paraId="71169B28" w14:textId="77777777" w:rsidR="00745227" w:rsidRDefault="00604F6D">
            <w:pPr>
              <w:spacing w:after="240"/>
              <w:textAlignment w:val="auto"/>
              <w:rPr>
                <w:rFonts w:eastAsia="Times New Roman"/>
                <w:lang w:eastAsia="en-GB" w:bidi="ar-SA"/>
              </w:rPr>
            </w:pPr>
            <w:r>
              <w:rPr>
                <w:rFonts w:eastAsia="Times New Roman"/>
                <w:lang w:eastAsia="en-GB" w:bidi="ar-SA"/>
              </w:rPr>
              <w:t>a transfer of employment to which the Employment Regulations applies;</w:t>
            </w:r>
          </w:p>
        </w:tc>
      </w:tr>
      <w:tr w:rsidR="00745227" w14:paraId="143B3400" w14:textId="77777777">
        <w:trPr>
          <w:trHeight w:val="315"/>
        </w:trPr>
        <w:tc>
          <w:tcPr>
            <w:tcW w:w="1843" w:type="dxa"/>
            <w:shd w:val="clear" w:color="auto" w:fill="auto"/>
            <w:tcMar>
              <w:top w:w="30" w:type="dxa"/>
              <w:left w:w="45" w:type="dxa"/>
              <w:bottom w:w="30" w:type="dxa"/>
              <w:right w:w="45" w:type="dxa"/>
            </w:tcMar>
          </w:tcPr>
          <w:p w14:paraId="6048B5C4" w14:textId="77777777" w:rsidR="00745227" w:rsidRDefault="00604F6D">
            <w:pPr>
              <w:spacing w:after="240"/>
              <w:textAlignment w:val="auto"/>
              <w:rPr>
                <w:rFonts w:eastAsia="Times New Roman"/>
                <w:b/>
                <w:bCs/>
                <w:lang w:eastAsia="en-GB" w:bidi="ar-SA"/>
              </w:rPr>
            </w:pPr>
            <w:r>
              <w:rPr>
                <w:rFonts w:eastAsia="Times New Roman"/>
                <w:b/>
                <w:bCs/>
                <w:lang w:eastAsia="en-GB" w:bidi="ar-SA"/>
              </w:rPr>
              <w:lastRenderedPageBreak/>
              <w:t>"Relevant Transfer Date"</w:t>
            </w:r>
          </w:p>
        </w:tc>
        <w:tc>
          <w:tcPr>
            <w:tcW w:w="6229" w:type="dxa"/>
            <w:shd w:val="clear" w:color="auto" w:fill="auto"/>
            <w:tcMar>
              <w:top w:w="30" w:type="dxa"/>
              <w:left w:w="0" w:type="dxa"/>
              <w:bottom w:w="30" w:type="dxa"/>
              <w:right w:w="0" w:type="dxa"/>
            </w:tcMar>
          </w:tcPr>
          <w:p w14:paraId="60721923" w14:textId="77777777" w:rsidR="00745227" w:rsidRDefault="00604F6D">
            <w:pPr>
              <w:spacing w:after="240"/>
              <w:textAlignment w:val="auto"/>
              <w:rPr>
                <w:rFonts w:eastAsia="Times New Roman"/>
                <w:lang w:eastAsia="en-GB" w:bidi="ar-SA"/>
              </w:rPr>
            </w:pPr>
            <w:r>
              <w:rPr>
                <w:rFonts w:eastAsia="Times New Roman"/>
                <w:lang w:eastAsia="en-GB" w:bidi="ar-SA"/>
              </w:rPr>
              <w:t>in relation to a Relevant Transfer, the date upon which the Relevant Transfer takes place, and for the purposes of Part D: Pensions, shall include the Commencement Date, where appropriate;</w:t>
            </w:r>
          </w:p>
        </w:tc>
      </w:tr>
      <w:tr w:rsidR="00745227" w14:paraId="469900D0" w14:textId="77777777">
        <w:trPr>
          <w:trHeight w:val="315"/>
        </w:trPr>
        <w:tc>
          <w:tcPr>
            <w:tcW w:w="1843" w:type="dxa"/>
            <w:shd w:val="clear" w:color="auto" w:fill="auto"/>
            <w:tcMar>
              <w:top w:w="30" w:type="dxa"/>
              <w:left w:w="45" w:type="dxa"/>
              <w:bottom w:w="30" w:type="dxa"/>
              <w:right w:w="45" w:type="dxa"/>
            </w:tcMar>
          </w:tcPr>
          <w:p w14:paraId="3E46A723" w14:textId="77777777" w:rsidR="00745227" w:rsidRDefault="00604F6D">
            <w:pPr>
              <w:spacing w:after="240"/>
              <w:textAlignment w:val="auto"/>
              <w:rPr>
                <w:rFonts w:eastAsia="Times New Roman"/>
                <w:b/>
                <w:bCs/>
                <w:lang w:eastAsia="en-GB" w:bidi="ar-SA"/>
              </w:rPr>
            </w:pPr>
            <w:r>
              <w:rPr>
                <w:rFonts w:eastAsia="Times New Roman"/>
                <w:b/>
                <w:bCs/>
                <w:lang w:eastAsia="en-GB" w:bidi="ar-SA"/>
              </w:rPr>
              <w:t>"Supplier's Final Supplier Personnel List"</w:t>
            </w:r>
          </w:p>
        </w:tc>
        <w:tc>
          <w:tcPr>
            <w:tcW w:w="6229" w:type="dxa"/>
            <w:shd w:val="clear" w:color="auto" w:fill="auto"/>
            <w:tcMar>
              <w:top w:w="30" w:type="dxa"/>
              <w:left w:w="0" w:type="dxa"/>
              <w:bottom w:w="30" w:type="dxa"/>
              <w:right w:w="0" w:type="dxa"/>
            </w:tcMar>
          </w:tcPr>
          <w:p w14:paraId="3786B9F7" w14:textId="77777777" w:rsidR="00745227" w:rsidRDefault="00604F6D">
            <w:pPr>
              <w:spacing w:after="240"/>
              <w:textAlignment w:val="auto"/>
              <w:rPr>
                <w:rFonts w:eastAsia="Times New Roman"/>
                <w:lang w:eastAsia="en-GB" w:bidi="ar-SA"/>
              </w:rPr>
            </w:pPr>
            <w:r>
              <w:rPr>
                <w:rFonts w:eastAsia="Times New Roman"/>
                <w:lang w:eastAsia="en-GB" w:bidi="ar-SA"/>
              </w:rPr>
              <w:t>a list provided by the Supplier of all Supplier Personnel whose will transfer under the Employment Regulations on the Service Transfer Date;</w:t>
            </w:r>
          </w:p>
        </w:tc>
      </w:tr>
      <w:tr w:rsidR="00745227" w14:paraId="665C6865" w14:textId="77777777">
        <w:trPr>
          <w:trHeight w:val="315"/>
        </w:trPr>
        <w:tc>
          <w:tcPr>
            <w:tcW w:w="1843" w:type="dxa"/>
            <w:shd w:val="clear" w:color="auto" w:fill="auto"/>
            <w:tcMar>
              <w:top w:w="30" w:type="dxa"/>
              <w:left w:w="45" w:type="dxa"/>
              <w:bottom w:w="30" w:type="dxa"/>
              <w:right w:w="45" w:type="dxa"/>
            </w:tcMar>
          </w:tcPr>
          <w:p w14:paraId="76C0FB5C" w14:textId="77777777" w:rsidR="00745227" w:rsidRDefault="00604F6D">
            <w:pPr>
              <w:spacing w:after="240"/>
              <w:textAlignment w:val="auto"/>
              <w:rPr>
                <w:rFonts w:eastAsia="Times New Roman"/>
                <w:b/>
                <w:bCs/>
                <w:lang w:eastAsia="en-GB" w:bidi="ar-SA"/>
              </w:rPr>
            </w:pPr>
            <w:r>
              <w:rPr>
                <w:rFonts w:eastAsia="Times New Roman"/>
                <w:b/>
                <w:bCs/>
                <w:lang w:eastAsia="en-GB" w:bidi="ar-SA"/>
              </w:rPr>
              <w:t>"Supplier's Provisional Supplier Personnel List"</w:t>
            </w:r>
          </w:p>
        </w:tc>
        <w:tc>
          <w:tcPr>
            <w:tcW w:w="6229" w:type="dxa"/>
            <w:shd w:val="clear" w:color="auto" w:fill="auto"/>
            <w:tcMar>
              <w:top w:w="30" w:type="dxa"/>
              <w:left w:w="0" w:type="dxa"/>
              <w:bottom w:w="30" w:type="dxa"/>
              <w:right w:w="0" w:type="dxa"/>
            </w:tcMar>
          </w:tcPr>
          <w:p w14:paraId="6477E36B" w14:textId="77777777" w:rsidR="00745227" w:rsidRDefault="00604F6D">
            <w:pPr>
              <w:spacing w:after="240"/>
              <w:textAlignment w:val="auto"/>
              <w:rPr>
                <w:rFonts w:eastAsia="Times New Roman"/>
                <w:lang w:eastAsia="en-GB" w:bidi="ar-SA"/>
              </w:rPr>
            </w:pPr>
            <w:r>
              <w:rPr>
                <w:rFonts w:eastAsia="Times New Roman"/>
                <w:lang w:eastAsia="en-GB" w:bidi="ar-SA"/>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745227" w14:paraId="57CB33D8" w14:textId="77777777">
        <w:trPr>
          <w:trHeight w:val="315"/>
        </w:trPr>
        <w:tc>
          <w:tcPr>
            <w:tcW w:w="1843" w:type="dxa"/>
            <w:shd w:val="clear" w:color="auto" w:fill="auto"/>
            <w:tcMar>
              <w:top w:w="30" w:type="dxa"/>
              <w:left w:w="45" w:type="dxa"/>
              <w:bottom w:w="30" w:type="dxa"/>
              <w:right w:w="45" w:type="dxa"/>
            </w:tcMar>
          </w:tcPr>
          <w:p w14:paraId="021DD372" w14:textId="77777777" w:rsidR="00745227" w:rsidRDefault="00604F6D">
            <w:pPr>
              <w:spacing w:after="240"/>
              <w:textAlignment w:val="auto"/>
              <w:rPr>
                <w:rFonts w:eastAsia="Times New Roman"/>
                <w:b/>
                <w:bCs/>
                <w:lang w:eastAsia="en-GB" w:bidi="ar-SA"/>
              </w:rPr>
            </w:pPr>
            <w:r>
              <w:rPr>
                <w:rFonts w:eastAsia="Times New Roman"/>
                <w:b/>
                <w:bCs/>
                <w:lang w:eastAsia="en-GB" w:bidi="ar-SA"/>
              </w:rPr>
              <w:t>Staffing Information"</w:t>
            </w:r>
          </w:p>
        </w:tc>
        <w:tc>
          <w:tcPr>
            <w:tcW w:w="6229" w:type="dxa"/>
            <w:shd w:val="clear" w:color="auto" w:fill="auto"/>
            <w:tcMar>
              <w:top w:w="30" w:type="dxa"/>
              <w:left w:w="0" w:type="dxa"/>
              <w:bottom w:w="30" w:type="dxa"/>
              <w:right w:w="0" w:type="dxa"/>
            </w:tcMar>
          </w:tcPr>
          <w:p w14:paraId="4D456D57" w14:textId="77777777" w:rsidR="00745227" w:rsidRDefault="00604F6D">
            <w:pPr>
              <w:spacing w:after="240"/>
              <w:textAlignment w:val="auto"/>
              <w:rPr>
                <w:rFonts w:eastAsia="Times New Roman"/>
                <w:lang w:eastAsia="en-GB" w:bidi="ar-SA"/>
              </w:rPr>
            </w:pPr>
            <w:r>
              <w:rPr>
                <w:rFonts w:eastAsia="Times New Roman"/>
                <w:lang w:eastAsia="en-GB" w:bidi="ar-SA"/>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7B8093E5"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their ages, dates of commencement of employment or engagement, gender and place of work;</w:t>
            </w:r>
          </w:p>
          <w:p w14:paraId="0EB6C19D"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details of whether they are employed, self-employed contractors or consultants, agency workers or otherwise;</w:t>
            </w:r>
          </w:p>
          <w:p w14:paraId="142E5C9C"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the identity of the employer or relevant contracting Party;</w:t>
            </w:r>
          </w:p>
          <w:p w14:paraId="51A38577"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their relevant contractual notice periods and any other terms relating to termination of employment, including redundancy procedures, and redundancy payments;</w:t>
            </w:r>
          </w:p>
          <w:p w14:paraId="09441A4C"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their wages, salaries, bonuses and profit-sharing arrangements as applicable;</w:t>
            </w:r>
          </w:p>
          <w:p w14:paraId="14B196F3"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details of other employment-related benefits, including (without limitation) medical insurance, life assurance, pension or other retirement benefit schemes, share option schemes and company car schedules applicable to them;</w:t>
            </w:r>
          </w:p>
          <w:p w14:paraId="7BF8AABC"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any outstanding or potential contractual, statutory or other liabilities in respect of such individuals (including in respect of personal injury claims);</w:t>
            </w:r>
          </w:p>
          <w:p w14:paraId="0DBAF2EC"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details of any such individuals on long term sickness absence, parental leave, maternity leave or other authorised long-term absence;</w:t>
            </w:r>
          </w:p>
          <w:p w14:paraId="58060EB1"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 xml:space="preserve">copies of all relevant documents and materials relating to such information, including copies of relevant </w:t>
            </w:r>
            <w:r>
              <w:rPr>
                <w:rFonts w:eastAsia="Times New Roman"/>
                <w:lang w:eastAsia="en-GB" w:bidi="ar-SA"/>
              </w:rPr>
              <w:lastRenderedPageBreak/>
              <w:t>contracts of employment (or relevant standard contracts if applied generally in respect of such employees); and</w:t>
            </w:r>
          </w:p>
          <w:p w14:paraId="7B6E76A9" w14:textId="77777777" w:rsidR="00745227" w:rsidRDefault="00604F6D">
            <w:pPr>
              <w:pStyle w:val="ListParagraph"/>
              <w:numPr>
                <w:ilvl w:val="0"/>
                <w:numId w:val="60"/>
              </w:numPr>
              <w:spacing w:after="240"/>
              <w:textAlignment w:val="auto"/>
              <w:rPr>
                <w:rFonts w:eastAsia="Times New Roman"/>
                <w:lang w:eastAsia="en-GB" w:bidi="ar-SA"/>
              </w:rPr>
            </w:pPr>
            <w:r>
              <w:rPr>
                <w:rFonts w:eastAsia="Times New Roman"/>
                <w:lang w:eastAsia="en-GB" w:bidi="ar-SA"/>
              </w:rPr>
              <w:t>any other "employee liability information" as such term is defined in regulation 11 of the Employment Regulations;</w:t>
            </w:r>
          </w:p>
        </w:tc>
      </w:tr>
      <w:tr w:rsidR="00745227" w14:paraId="2A378B90" w14:textId="77777777">
        <w:trPr>
          <w:trHeight w:val="315"/>
        </w:trPr>
        <w:tc>
          <w:tcPr>
            <w:tcW w:w="1843" w:type="dxa"/>
            <w:shd w:val="clear" w:color="auto" w:fill="auto"/>
            <w:tcMar>
              <w:top w:w="30" w:type="dxa"/>
              <w:left w:w="45" w:type="dxa"/>
              <w:bottom w:w="30" w:type="dxa"/>
              <w:right w:w="45" w:type="dxa"/>
            </w:tcMar>
          </w:tcPr>
          <w:p w14:paraId="2990C873" w14:textId="77777777" w:rsidR="00745227" w:rsidRDefault="00604F6D">
            <w:pPr>
              <w:spacing w:after="240"/>
              <w:textAlignment w:val="auto"/>
              <w:rPr>
                <w:rFonts w:eastAsia="Times New Roman"/>
                <w:b/>
                <w:bCs/>
                <w:lang w:eastAsia="en-GB" w:bidi="ar-SA"/>
              </w:rPr>
            </w:pPr>
            <w:r>
              <w:rPr>
                <w:rFonts w:eastAsia="Times New Roman"/>
                <w:b/>
                <w:bCs/>
                <w:lang w:eastAsia="en-GB" w:bidi="ar-SA"/>
              </w:rPr>
              <w:lastRenderedPageBreak/>
              <w:t>"Term"</w:t>
            </w:r>
          </w:p>
        </w:tc>
        <w:tc>
          <w:tcPr>
            <w:tcW w:w="6229" w:type="dxa"/>
            <w:shd w:val="clear" w:color="auto" w:fill="auto"/>
            <w:tcMar>
              <w:top w:w="30" w:type="dxa"/>
              <w:left w:w="0" w:type="dxa"/>
              <w:bottom w:w="30" w:type="dxa"/>
              <w:right w:w="0" w:type="dxa"/>
            </w:tcMar>
          </w:tcPr>
          <w:p w14:paraId="3266BB98" w14:textId="77777777" w:rsidR="00745227" w:rsidRDefault="00604F6D">
            <w:pPr>
              <w:spacing w:after="240"/>
              <w:textAlignment w:val="auto"/>
              <w:rPr>
                <w:rFonts w:eastAsia="Times New Roman"/>
                <w:lang w:eastAsia="en-GB" w:bidi="ar-SA"/>
              </w:rPr>
            </w:pPr>
            <w:r>
              <w:rPr>
                <w:rFonts w:eastAsia="Times New Roman"/>
                <w:lang w:eastAsia="en-GB" w:bidi="ar-SA"/>
              </w:rPr>
              <w:t>the period commencing on the Start Date and ending on the expiry of the Initial Period or any Extension Period or on earlier termination of the relevant Contract;</w:t>
            </w:r>
          </w:p>
        </w:tc>
      </w:tr>
      <w:tr w:rsidR="00745227" w14:paraId="3C48F7BA" w14:textId="77777777">
        <w:trPr>
          <w:trHeight w:val="315"/>
        </w:trPr>
        <w:tc>
          <w:tcPr>
            <w:tcW w:w="1843" w:type="dxa"/>
            <w:shd w:val="clear" w:color="auto" w:fill="auto"/>
            <w:tcMar>
              <w:top w:w="30" w:type="dxa"/>
              <w:left w:w="45" w:type="dxa"/>
              <w:bottom w:w="30" w:type="dxa"/>
              <w:right w:w="45" w:type="dxa"/>
            </w:tcMar>
          </w:tcPr>
          <w:p w14:paraId="2FF1E8E2" w14:textId="77777777" w:rsidR="00745227" w:rsidRDefault="00604F6D">
            <w:pPr>
              <w:spacing w:after="240"/>
              <w:textAlignment w:val="auto"/>
              <w:rPr>
                <w:rFonts w:eastAsia="Times New Roman"/>
                <w:b/>
                <w:bCs/>
                <w:lang w:eastAsia="en-GB" w:bidi="ar-SA"/>
              </w:rPr>
            </w:pPr>
            <w:r>
              <w:rPr>
                <w:rFonts w:eastAsia="Times New Roman"/>
                <w:b/>
                <w:bCs/>
                <w:lang w:eastAsia="en-GB" w:bidi="ar-SA"/>
              </w:rPr>
              <w:t>"Transferring Buyer Employees"</w:t>
            </w:r>
          </w:p>
        </w:tc>
        <w:tc>
          <w:tcPr>
            <w:tcW w:w="6229" w:type="dxa"/>
            <w:shd w:val="clear" w:color="auto" w:fill="auto"/>
            <w:tcMar>
              <w:top w:w="30" w:type="dxa"/>
              <w:left w:w="0" w:type="dxa"/>
              <w:bottom w:w="30" w:type="dxa"/>
              <w:right w:w="0" w:type="dxa"/>
            </w:tcMar>
          </w:tcPr>
          <w:p w14:paraId="6E7FEA35" w14:textId="77777777" w:rsidR="00745227" w:rsidRDefault="00604F6D">
            <w:pPr>
              <w:spacing w:after="240"/>
              <w:textAlignment w:val="auto"/>
              <w:rPr>
                <w:rFonts w:eastAsia="Times New Roman"/>
                <w:lang w:eastAsia="en-GB" w:bidi="ar-SA"/>
              </w:rPr>
            </w:pPr>
            <w:r>
              <w:rPr>
                <w:rFonts w:eastAsia="Times New Roman"/>
                <w:lang w:eastAsia="en-GB" w:bidi="ar-SA"/>
              </w:rPr>
              <w:t>those employees of the Buyer to whom the Employment Regulations will apply on the Relevant Transfer Date and whose names are provided to the Supplier on or prior to the Relevant Transfer Date;</w:t>
            </w:r>
          </w:p>
        </w:tc>
      </w:tr>
      <w:tr w:rsidR="00745227" w14:paraId="633A4071" w14:textId="77777777">
        <w:trPr>
          <w:trHeight w:val="315"/>
        </w:trPr>
        <w:tc>
          <w:tcPr>
            <w:tcW w:w="1843" w:type="dxa"/>
            <w:shd w:val="clear" w:color="auto" w:fill="auto"/>
            <w:tcMar>
              <w:top w:w="30" w:type="dxa"/>
              <w:left w:w="45" w:type="dxa"/>
              <w:bottom w:w="30" w:type="dxa"/>
              <w:right w:w="45" w:type="dxa"/>
            </w:tcMar>
          </w:tcPr>
          <w:p w14:paraId="565479CE" w14:textId="77777777" w:rsidR="00745227" w:rsidRDefault="00604F6D">
            <w:pPr>
              <w:spacing w:after="240"/>
              <w:textAlignment w:val="auto"/>
              <w:rPr>
                <w:rFonts w:eastAsia="Times New Roman"/>
                <w:b/>
                <w:bCs/>
                <w:lang w:eastAsia="en-GB" w:bidi="ar-SA"/>
              </w:rPr>
            </w:pPr>
            <w:r>
              <w:rPr>
                <w:rFonts w:eastAsia="Times New Roman"/>
                <w:b/>
                <w:bCs/>
                <w:lang w:eastAsia="en-GB" w:bidi="ar-SA"/>
              </w:rPr>
              <w:t>"Transferring Former Supplier Employees"</w:t>
            </w:r>
          </w:p>
        </w:tc>
        <w:tc>
          <w:tcPr>
            <w:tcW w:w="6229" w:type="dxa"/>
            <w:shd w:val="clear" w:color="auto" w:fill="auto"/>
            <w:tcMar>
              <w:top w:w="30" w:type="dxa"/>
              <w:left w:w="0" w:type="dxa"/>
              <w:bottom w:w="30" w:type="dxa"/>
              <w:right w:w="0" w:type="dxa"/>
            </w:tcMar>
          </w:tcPr>
          <w:p w14:paraId="01D1A882" w14:textId="77777777" w:rsidR="00745227" w:rsidRDefault="00604F6D">
            <w:pPr>
              <w:spacing w:after="240"/>
              <w:textAlignment w:val="auto"/>
              <w:rPr>
                <w:rFonts w:eastAsia="Times New Roman"/>
                <w:lang w:eastAsia="en-GB" w:bidi="ar-SA"/>
              </w:rPr>
            </w:pPr>
            <w:r>
              <w:rPr>
                <w:rFonts w:eastAsia="Times New Roman"/>
                <w:lang w:eastAsia="en-GB" w:bidi="ar-SA"/>
              </w:rPr>
              <w:t>in relation to a Former Supplier, those employees of the Former Supplier to whom the Employment Regulations will apply on the Relevant Transfer Date and whose names are provided to the Supplier on or prior to the Relevant Transfer Date.</w:t>
            </w:r>
          </w:p>
        </w:tc>
      </w:tr>
    </w:tbl>
    <w:p w14:paraId="4CC71841" w14:textId="77777777" w:rsidR="00745227" w:rsidRDefault="00745227">
      <w:pPr>
        <w:pStyle w:val="Standard"/>
      </w:pPr>
    </w:p>
    <w:p w14:paraId="0CFA40FF" w14:textId="77777777" w:rsidR="00745227" w:rsidRDefault="00604F6D">
      <w:pPr>
        <w:pStyle w:val="Heading3"/>
        <w:numPr>
          <w:ilvl w:val="0"/>
          <w:numId w:val="58"/>
        </w:numPr>
        <w:ind w:left="567" w:hanging="567"/>
      </w:pPr>
      <w:bookmarkStart w:id="6" w:name="_Toc83656556"/>
      <w:bookmarkStart w:id="7" w:name="_Toc83731430"/>
      <w:r>
        <w:t>Interpretation</w:t>
      </w:r>
      <w:bookmarkEnd w:id="6"/>
      <w:bookmarkEnd w:id="7"/>
    </w:p>
    <w:p w14:paraId="779C1FC5" w14:textId="77777777" w:rsidR="00745227" w:rsidRDefault="00604F6D">
      <w:pPr>
        <w:pStyle w:val="Standard"/>
        <w:ind w:left="567"/>
      </w:pPr>
      <w: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B7BBE0E" w14:textId="77777777" w:rsidR="00745227" w:rsidRDefault="00745227">
      <w:pPr>
        <w:pStyle w:val="Standard"/>
        <w:ind w:left="567"/>
      </w:pPr>
    </w:p>
    <w:p w14:paraId="1536F1BC" w14:textId="77777777" w:rsidR="00745227" w:rsidRDefault="00604F6D">
      <w:pPr>
        <w:pStyle w:val="Heading3"/>
        <w:numPr>
          <w:ilvl w:val="0"/>
          <w:numId w:val="58"/>
        </w:numPr>
        <w:ind w:left="567" w:hanging="567"/>
      </w:pPr>
      <w:bookmarkStart w:id="8" w:name="_Toc83656557"/>
      <w:bookmarkStart w:id="9" w:name="_Toc83731431"/>
      <w:r>
        <w:t>Which parts of this Schedule apply</w:t>
      </w:r>
      <w:bookmarkEnd w:id="8"/>
      <w:bookmarkEnd w:id="9"/>
    </w:p>
    <w:p w14:paraId="77E47A2F" w14:textId="77777777" w:rsidR="00745227" w:rsidRDefault="00604F6D">
      <w:pPr>
        <w:pStyle w:val="Standard"/>
      </w:pPr>
      <w:r>
        <w:t>Only the following parts of this Schedule shall apply to this Call Off Contract:</w:t>
      </w:r>
    </w:p>
    <w:p w14:paraId="2D477CC0" w14:textId="77777777" w:rsidR="00620DD6" w:rsidRDefault="00604F6D" w:rsidP="00620DD6">
      <w:pPr>
        <w:pStyle w:val="Standard"/>
        <w:numPr>
          <w:ilvl w:val="0"/>
          <w:numId w:val="61"/>
        </w:numPr>
      </w:pPr>
      <w:r>
        <w:t xml:space="preserve">Part C (No Staff Transfer </w:t>
      </w:r>
      <w:proofErr w:type="gramStart"/>
      <w:r>
        <w:t>On</w:t>
      </w:r>
      <w:proofErr w:type="gramEnd"/>
      <w:r>
        <w:t xml:space="preserve"> Start Date)</w:t>
      </w:r>
    </w:p>
    <w:p w14:paraId="5F5C8AC8" w14:textId="1C1358EF" w:rsidR="00745227" w:rsidRDefault="00604F6D" w:rsidP="00620DD6">
      <w:pPr>
        <w:pStyle w:val="Standard"/>
        <w:numPr>
          <w:ilvl w:val="0"/>
          <w:numId w:val="61"/>
        </w:numPr>
      </w:pPr>
      <w:r>
        <w:t>Part E (Staff Transfer on Exit)</w:t>
      </w:r>
    </w:p>
    <w:p w14:paraId="52B8E230" w14:textId="77777777" w:rsidR="00620DD6" w:rsidRDefault="00620DD6">
      <w:pPr>
        <w:pStyle w:val="Standard"/>
      </w:pPr>
    </w:p>
    <w:p w14:paraId="1FDA1DC1" w14:textId="77777777" w:rsidR="00745227" w:rsidRDefault="00604F6D">
      <w:pPr>
        <w:pStyle w:val="Heading2"/>
      </w:pPr>
      <w:bookmarkStart w:id="10" w:name="_Toc83656558"/>
      <w:bookmarkStart w:id="11" w:name="_Toc83731432"/>
      <w:r>
        <w:t>PART A: Staff Transfer at the Start Date</w:t>
      </w:r>
      <w:bookmarkEnd w:id="10"/>
      <w:bookmarkEnd w:id="11"/>
      <w:r>
        <w:t xml:space="preserve"> </w:t>
      </w:r>
    </w:p>
    <w:p w14:paraId="0DB447B0" w14:textId="77777777" w:rsidR="00745227" w:rsidRDefault="00604F6D">
      <w:pPr>
        <w:pStyle w:val="Heading3"/>
      </w:pPr>
      <w:bookmarkStart w:id="12" w:name="_Toc83656559"/>
      <w:bookmarkStart w:id="13" w:name="_Toc83731433"/>
      <w:r>
        <w:t>Outsourcing from the Buyer</w:t>
      </w:r>
      <w:bookmarkEnd w:id="12"/>
      <w:bookmarkEnd w:id="13"/>
      <w:r>
        <w:t xml:space="preserve"> </w:t>
      </w:r>
    </w:p>
    <w:p w14:paraId="582EF05B" w14:textId="77777777" w:rsidR="00745227" w:rsidRDefault="00604F6D">
      <w:pPr>
        <w:pStyle w:val="Heading3"/>
      </w:pPr>
      <w:r>
        <w:t>Not Applicable</w:t>
      </w:r>
    </w:p>
    <w:p w14:paraId="68AAD12A" w14:textId="77777777" w:rsidR="00745227" w:rsidRDefault="00604F6D">
      <w:pPr>
        <w:pStyle w:val="Heading2"/>
      </w:pPr>
      <w:bookmarkStart w:id="14" w:name="_Toc83656566"/>
      <w:bookmarkStart w:id="15" w:name="_Toc83731440"/>
      <w:r>
        <w:t>PART B: Staff transfer at the Start Date</w:t>
      </w:r>
      <w:bookmarkEnd w:id="14"/>
      <w:bookmarkEnd w:id="15"/>
      <w:r>
        <w:t xml:space="preserve"> </w:t>
      </w:r>
    </w:p>
    <w:p w14:paraId="7C272520" w14:textId="77777777" w:rsidR="00745227" w:rsidRDefault="00604F6D">
      <w:pPr>
        <w:pStyle w:val="Heading3"/>
      </w:pPr>
      <w:bookmarkStart w:id="16" w:name="_Toc83656567"/>
      <w:bookmarkStart w:id="17" w:name="_Toc83731441"/>
      <w:r>
        <w:t>Transfer from a former Supplier on Re-procurement</w:t>
      </w:r>
      <w:bookmarkEnd w:id="16"/>
      <w:bookmarkEnd w:id="17"/>
    </w:p>
    <w:p w14:paraId="04C839E9" w14:textId="77777777" w:rsidR="00745227" w:rsidRDefault="00604F6D">
      <w:pPr>
        <w:pStyle w:val="Heading3"/>
      </w:pPr>
      <w:r>
        <w:t>Not Applicable</w:t>
      </w:r>
    </w:p>
    <w:p w14:paraId="106247BC" w14:textId="77777777" w:rsidR="00745227" w:rsidRDefault="00745227">
      <w:pPr>
        <w:pStyle w:val="Standard"/>
      </w:pPr>
    </w:p>
    <w:p w14:paraId="7A467462" w14:textId="7E50D6A7" w:rsidR="00745227" w:rsidRDefault="00604F6D">
      <w:pPr>
        <w:pStyle w:val="Heading2"/>
      </w:pPr>
      <w:bookmarkStart w:id="18" w:name="_Toc83731449"/>
      <w:r>
        <w:lastRenderedPageBreak/>
        <w:t>PART C: No Staff Transfer on the Start Date</w:t>
      </w:r>
      <w:bookmarkEnd w:id="18"/>
    </w:p>
    <w:p w14:paraId="7BEBC3EA" w14:textId="77777777" w:rsidR="00745227" w:rsidRDefault="00604F6D">
      <w:pPr>
        <w:pStyle w:val="Heading3"/>
        <w:numPr>
          <w:ilvl w:val="0"/>
          <w:numId w:val="62"/>
        </w:numPr>
        <w:ind w:left="567" w:hanging="567"/>
      </w:pPr>
      <w:bookmarkStart w:id="19" w:name="_Toc83731450"/>
      <w:r>
        <w:t>What happens if there is a staff transfer</w:t>
      </w:r>
      <w:bookmarkEnd w:id="19"/>
    </w:p>
    <w:p w14:paraId="1EC7F301" w14:textId="77777777" w:rsidR="00745227" w:rsidRDefault="00604F6D">
      <w:pPr>
        <w:pStyle w:val="ListParagraph"/>
        <w:numPr>
          <w:ilvl w:val="1"/>
          <w:numId w:val="1"/>
        </w:numPr>
        <w:spacing w:after="240"/>
        <w:ind w:left="1134" w:hanging="567"/>
      </w:pPr>
      <w:r>
        <w:t xml:space="preserve">The Buyer and the Supplier agree that the commencement of the provision of the Services or of any part of the Services will not be a Relevant Transfer in relation to any employees of the Buyer and/or any Former Supplier.  </w:t>
      </w:r>
    </w:p>
    <w:p w14:paraId="77C21EBD" w14:textId="77777777" w:rsidR="00745227" w:rsidRDefault="00604F6D">
      <w:pPr>
        <w:pStyle w:val="ListParagraph"/>
        <w:numPr>
          <w:ilvl w:val="1"/>
          <w:numId w:val="1"/>
        </w:numPr>
        <w:spacing w:after="240"/>
        <w:ind w:left="1134" w:hanging="567"/>
      </w:pPr>
      <w:r>
        <w:t xml:space="preserve">Subject to Paragraphs </w:t>
      </w:r>
      <w:r>
        <w:rPr>
          <w:cs/>
        </w:rPr>
        <w:t>‎</w:t>
      </w:r>
      <w:r>
        <w:t xml:space="preserve">1.3, </w:t>
      </w:r>
      <w:r>
        <w:rPr>
          <w:cs/>
        </w:rPr>
        <w:t>‎</w:t>
      </w:r>
      <w:r>
        <w:t xml:space="preserve">1.4 and </w:t>
      </w:r>
      <w:r>
        <w:rPr>
          <w:cs/>
        </w:rPr>
        <w:t>‎</w:t>
      </w:r>
      <w:r>
        <w:t>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14:paraId="6D222D65" w14:textId="77777777" w:rsidR="00745227" w:rsidRDefault="00604F6D">
      <w:pPr>
        <w:pStyle w:val="ListParagraph"/>
        <w:numPr>
          <w:ilvl w:val="2"/>
          <w:numId w:val="1"/>
        </w:numPr>
        <w:spacing w:after="240"/>
        <w:ind w:left="1985" w:hanging="851"/>
      </w:pPr>
      <w:r>
        <w:t>the Supplier will, within 5 Working Days of becoming aware of that fact, notify the Buyer in writing;</w:t>
      </w:r>
    </w:p>
    <w:p w14:paraId="53347BE5" w14:textId="77777777" w:rsidR="00745227" w:rsidRDefault="00604F6D">
      <w:pPr>
        <w:pStyle w:val="ListParagraph"/>
        <w:numPr>
          <w:ilvl w:val="2"/>
          <w:numId w:val="1"/>
        </w:numPr>
        <w:spacing w:after="240"/>
        <w:ind w:left="1985" w:hanging="851"/>
      </w:pPr>
      <w:r>
        <w:t>the Buyer may offer employment to such person, or take such other steps as it considered appropriate to resolve the matter, within 10 Working Days of receipt of notice from the Supplier;</w:t>
      </w:r>
    </w:p>
    <w:p w14:paraId="1F81D1F1" w14:textId="77777777" w:rsidR="00745227" w:rsidRDefault="00604F6D">
      <w:pPr>
        <w:pStyle w:val="ListParagraph"/>
        <w:numPr>
          <w:ilvl w:val="2"/>
          <w:numId w:val="1"/>
        </w:numPr>
        <w:spacing w:after="240"/>
        <w:ind w:left="1985" w:hanging="851"/>
      </w:pPr>
      <w:r>
        <w:t>if such offer of employment is accepted, the Supplier shall immediately release the person from its employment;</w:t>
      </w:r>
    </w:p>
    <w:p w14:paraId="525FC48B" w14:textId="77777777" w:rsidR="00745227" w:rsidRDefault="00604F6D">
      <w:pPr>
        <w:pStyle w:val="ListParagraph"/>
        <w:numPr>
          <w:ilvl w:val="2"/>
          <w:numId w:val="1"/>
        </w:numPr>
        <w:spacing w:after="240"/>
        <w:ind w:left="1985" w:hanging="851"/>
      </w:pPr>
      <w:r>
        <w:t xml:space="preserve">if after the period referred to in Paragraph </w:t>
      </w:r>
      <w:r>
        <w:rPr>
          <w:cs/>
        </w:rPr>
        <w:t>‎</w:t>
      </w:r>
      <w:r>
        <w:t>1.2.2 no such offer has been made, or such offer has been made but not accepted, the Supplier may within 5 Working Days give notice to terminate the employment of such person;</w:t>
      </w:r>
    </w:p>
    <w:p w14:paraId="3F03F8F7" w14:textId="77777777" w:rsidR="00745227" w:rsidRDefault="00604F6D">
      <w:pPr>
        <w:pStyle w:val="ListParagraph"/>
        <w:spacing w:after="240"/>
        <w:ind w:left="1134"/>
      </w:pPr>
      <w:r>
        <w:t xml:space="preserve">and subject to the Supplier's compliance with Paragraphs </w:t>
      </w:r>
      <w:r>
        <w:rPr>
          <w:cs/>
        </w:rPr>
        <w:t>‎</w:t>
      </w:r>
      <w:r>
        <w:t xml:space="preserve">1.2.1 to </w:t>
      </w:r>
      <w:r>
        <w:rPr>
          <w:cs/>
        </w:rPr>
        <w:t>‎</w:t>
      </w:r>
      <w:r>
        <w:t>1.2.4:</w:t>
      </w:r>
    </w:p>
    <w:p w14:paraId="1672E7DC" w14:textId="77777777" w:rsidR="00745227" w:rsidRDefault="00604F6D">
      <w:pPr>
        <w:pStyle w:val="Standard"/>
        <w:numPr>
          <w:ilvl w:val="0"/>
          <w:numId w:val="63"/>
        </w:numPr>
        <w:spacing w:after="240"/>
        <w:ind w:left="2552" w:hanging="567"/>
      </w:pPr>
      <w:r>
        <w:t xml:space="preserve">the Buyer will indemnify the Supplier and/or the relevant Sub-contractor against all Employee Liabilities arising out of the termination of the employment of any of the Buyer's employees referred to in Paragraph </w:t>
      </w:r>
      <w:r>
        <w:rPr>
          <w:cs/>
        </w:rPr>
        <w:t>‎</w:t>
      </w:r>
      <w:r>
        <w:t xml:space="preserve">1.2; and </w:t>
      </w:r>
    </w:p>
    <w:p w14:paraId="5135AB60" w14:textId="77777777" w:rsidR="00745227" w:rsidRDefault="00604F6D">
      <w:pPr>
        <w:pStyle w:val="Standard"/>
        <w:numPr>
          <w:ilvl w:val="0"/>
          <w:numId w:val="63"/>
        </w:numPr>
        <w:spacing w:after="240"/>
        <w:ind w:left="2552" w:hanging="567"/>
      </w:pPr>
      <w:r>
        <w:t xml:space="preserve">the Buyer will procure that the Former Supplier indemnifies the Supplier and/or any Sub-contractor against all Employee Liabilities arising out of termination of the employment of the employees of the Former Supplier referred to in Paragraph </w:t>
      </w:r>
      <w:r>
        <w:rPr>
          <w:cs/>
        </w:rPr>
        <w:t>‎</w:t>
      </w:r>
      <w:r>
        <w:t>1.2.</w:t>
      </w:r>
    </w:p>
    <w:p w14:paraId="12FC7485" w14:textId="77777777" w:rsidR="00745227" w:rsidRDefault="00604F6D">
      <w:pPr>
        <w:pStyle w:val="ListParagraph"/>
        <w:numPr>
          <w:ilvl w:val="1"/>
          <w:numId w:val="1"/>
        </w:numPr>
        <w:spacing w:after="240"/>
        <w:ind w:left="1134" w:hanging="567"/>
      </w:pPr>
      <w:r>
        <w:t xml:space="preserve">The indemnities in Paragraph </w:t>
      </w:r>
      <w:r>
        <w:rPr>
          <w:cs/>
        </w:rPr>
        <w:t>‎</w:t>
      </w:r>
      <w:r>
        <w:t>1.2 shall not apply to any claim:</w:t>
      </w:r>
    </w:p>
    <w:p w14:paraId="7A0EC258" w14:textId="77777777" w:rsidR="00745227" w:rsidRDefault="00604F6D">
      <w:pPr>
        <w:pStyle w:val="ListParagraph"/>
        <w:numPr>
          <w:ilvl w:val="2"/>
          <w:numId w:val="1"/>
        </w:numPr>
        <w:spacing w:after="240"/>
        <w:ind w:left="1985" w:hanging="851"/>
      </w:pPr>
      <w: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2342945E" w14:textId="77777777" w:rsidR="00745227" w:rsidRDefault="00604F6D">
      <w:pPr>
        <w:pStyle w:val="ListParagraph"/>
        <w:numPr>
          <w:ilvl w:val="2"/>
          <w:numId w:val="1"/>
        </w:numPr>
        <w:spacing w:after="240"/>
        <w:ind w:left="1985" w:hanging="851"/>
      </w:pPr>
      <w:r>
        <w:t>any claim that the termination of employment was unfair because the Supplier and/or any Sub-contractor neglected to follow a fair dismissal procedure</w:t>
      </w:r>
    </w:p>
    <w:p w14:paraId="4C42B14A" w14:textId="77777777" w:rsidR="00745227" w:rsidRDefault="00604F6D">
      <w:pPr>
        <w:pStyle w:val="ListParagraph"/>
        <w:numPr>
          <w:ilvl w:val="1"/>
          <w:numId w:val="1"/>
        </w:numPr>
        <w:spacing w:after="240"/>
        <w:ind w:left="1134" w:hanging="567"/>
      </w:pPr>
      <w:r>
        <w:lastRenderedPageBreak/>
        <w:t xml:space="preserve">The indemnities in Paragraph </w:t>
      </w:r>
      <w:r>
        <w:rPr>
          <w:cs/>
        </w:rPr>
        <w:t>‎</w:t>
      </w:r>
      <w:r>
        <w:t>1.2 shall not apply to any termination of employment occurring later than 3 Months from the Commencement Date.</w:t>
      </w:r>
    </w:p>
    <w:p w14:paraId="3598473D" w14:textId="77777777" w:rsidR="00745227" w:rsidRDefault="00604F6D">
      <w:pPr>
        <w:pStyle w:val="ListParagraph"/>
        <w:numPr>
          <w:ilvl w:val="1"/>
          <w:numId w:val="1"/>
        </w:numPr>
        <w:spacing w:after="240"/>
        <w:ind w:left="1134" w:hanging="567"/>
      </w:pPr>
      <w:r>
        <w:t xml:space="preserve">If the Supplier and/or the Sub-contractor does not comply with Paragraph </w:t>
      </w:r>
      <w:r>
        <w:rPr>
          <w:cs/>
        </w:rPr>
        <w:t>‎</w:t>
      </w:r>
      <w:r>
        <w:t>1.2, all Employee Liabilities in relation to such employees shall remain with the Supplier and/or the Sub-contractor and the Supplier shall (</w:t>
      </w:r>
      <w:proofErr w:type="spellStart"/>
      <w:r>
        <w:t>i</w:t>
      </w:r>
      <w:proofErr w:type="spellEnd"/>
      <w: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2DF1C375" w14:textId="77777777" w:rsidR="00745227" w:rsidRDefault="00604F6D">
      <w:pPr>
        <w:pStyle w:val="Heading3"/>
        <w:numPr>
          <w:ilvl w:val="0"/>
          <w:numId w:val="1"/>
        </w:numPr>
        <w:ind w:left="567" w:hanging="567"/>
      </w:pPr>
      <w:bookmarkStart w:id="20" w:name="_Toc83731451"/>
      <w:r>
        <w:t>Limits on the Former Supplier’s obligations</w:t>
      </w:r>
      <w:bookmarkEnd w:id="20"/>
    </w:p>
    <w:p w14:paraId="2EE4203E" w14:textId="77777777" w:rsidR="00745227" w:rsidRDefault="00604F6D">
      <w:pPr>
        <w:pStyle w:val="Standard"/>
        <w:numPr>
          <w:ilvl w:val="1"/>
          <w:numId w:val="1"/>
        </w:numPr>
        <w:spacing w:after="240"/>
        <w:ind w:left="1134" w:hanging="567"/>
      </w:pPr>
      <w: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7DEF998" w14:textId="5B5EA0D7" w:rsidR="00745227" w:rsidRDefault="00604F6D">
      <w:pPr>
        <w:pStyle w:val="Heading2"/>
      </w:pPr>
      <w:bookmarkStart w:id="21" w:name="_Toc83731452"/>
      <w:r>
        <w:t>PART D: Pensions</w:t>
      </w:r>
      <w:bookmarkEnd w:id="21"/>
      <w:r w:rsidR="00620DD6">
        <w:t xml:space="preserve"> – Not Applicable</w:t>
      </w:r>
    </w:p>
    <w:p w14:paraId="201A2665" w14:textId="77777777" w:rsidR="00745227" w:rsidRDefault="00604F6D">
      <w:pPr>
        <w:pStyle w:val="Heading3"/>
        <w:numPr>
          <w:ilvl w:val="1"/>
          <w:numId w:val="63"/>
        </w:numPr>
        <w:ind w:left="567" w:hanging="567"/>
      </w:pPr>
      <w:bookmarkStart w:id="22" w:name="_Toc83731453"/>
      <w:r>
        <w:t>Definitions</w:t>
      </w:r>
      <w:bookmarkEnd w:id="22"/>
    </w:p>
    <w:p w14:paraId="263FBE65" w14:textId="77777777" w:rsidR="00745227" w:rsidRDefault="00604F6D">
      <w:pPr>
        <w:pStyle w:val="Standard"/>
        <w:numPr>
          <w:ilvl w:val="1"/>
          <w:numId w:val="64"/>
        </w:numPr>
        <w:spacing w:after="240"/>
        <w:ind w:left="1134" w:hanging="567"/>
      </w:pPr>
      <w:r>
        <w:t>In this Part D, the following words have the following meanings and they shall supplement Joint Schedule 1 (Definitions), and shall be deemed to include the definitions set out in the Annexes:</w:t>
      </w:r>
    </w:p>
    <w:tbl>
      <w:tblPr>
        <w:tblW w:w="9016" w:type="dxa"/>
        <w:tblCellMar>
          <w:left w:w="10" w:type="dxa"/>
          <w:right w:w="10" w:type="dxa"/>
        </w:tblCellMar>
        <w:tblLook w:val="0000" w:firstRow="0" w:lastRow="0" w:firstColumn="0" w:lastColumn="0" w:noHBand="0" w:noVBand="0"/>
      </w:tblPr>
      <w:tblGrid>
        <w:gridCol w:w="3049"/>
        <w:gridCol w:w="5967"/>
      </w:tblGrid>
      <w:tr w:rsidR="00745227" w14:paraId="2373AF7C" w14:textId="77777777">
        <w:trPr>
          <w:cantSplit/>
        </w:trPr>
        <w:tc>
          <w:tcPr>
            <w:tcW w:w="3049" w:type="dxa"/>
            <w:shd w:val="clear" w:color="auto" w:fill="auto"/>
            <w:tcMar>
              <w:top w:w="0" w:type="dxa"/>
              <w:left w:w="108" w:type="dxa"/>
              <w:bottom w:w="0" w:type="dxa"/>
              <w:right w:w="108" w:type="dxa"/>
            </w:tcMar>
          </w:tcPr>
          <w:p w14:paraId="7677EA07" w14:textId="77777777" w:rsidR="00745227" w:rsidRDefault="00604F6D">
            <w:pPr>
              <w:spacing w:before="120" w:after="120"/>
              <w:rPr>
                <w:b/>
              </w:rPr>
            </w:pPr>
            <w:r>
              <w:rPr>
                <w:b/>
              </w:rPr>
              <w:t>"Actuary"</w:t>
            </w:r>
          </w:p>
        </w:tc>
        <w:tc>
          <w:tcPr>
            <w:tcW w:w="5967" w:type="dxa"/>
            <w:shd w:val="clear" w:color="auto" w:fill="auto"/>
            <w:tcMar>
              <w:top w:w="0" w:type="dxa"/>
              <w:left w:w="108" w:type="dxa"/>
              <w:bottom w:w="0" w:type="dxa"/>
              <w:right w:w="108" w:type="dxa"/>
            </w:tcMar>
          </w:tcPr>
          <w:p w14:paraId="7159F75D" w14:textId="77777777" w:rsidR="00745227" w:rsidRDefault="00604F6D">
            <w:pPr>
              <w:tabs>
                <w:tab w:val="left" w:pos="235"/>
              </w:tabs>
              <w:spacing w:before="120" w:after="120"/>
              <w:rPr>
                <w:rFonts w:eastAsia="STZhongsong"/>
                <w:bCs/>
                <w:color w:val="000000"/>
              </w:rPr>
            </w:pPr>
            <w:r>
              <w:rPr>
                <w:rFonts w:eastAsia="STZhongsong"/>
                <w:bCs/>
                <w:color w:val="000000"/>
              </w:rPr>
              <w:t>a Fellow of the Institute and Faculty of Actuaries;</w:t>
            </w:r>
          </w:p>
        </w:tc>
      </w:tr>
      <w:tr w:rsidR="00745227" w14:paraId="63B57099" w14:textId="77777777">
        <w:trPr>
          <w:cantSplit/>
        </w:trPr>
        <w:tc>
          <w:tcPr>
            <w:tcW w:w="3049" w:type="dxa"/>
            <w:shd w:val="clear" w:color="auto" w:fill="auto"/>
            <w:tcMar>
              <w:top w:w="0" w:type="dxa"/>
              <w:left w:w="108" w:type="dxa"/>
              <w:bottom w:w="0" w:type="dxa"/>
              <w:right w:w="108" w:type="dxa"/>
            </w:tcMar>
          </w:tcPr>
          <w:p w14:paraId="281FF5E6" w14:textId="77777777" w:rsidR="00745227" w:rsidRDefault="00604F6D">
            <w:pPr>
              <w:spacing w:before="120" w:after="120"/>
              <w:rPr>
                <w:b/>
              </w:rPr>
            </w:pPr>
            <w:r>
              <w:rPr>
                <w:b/>
              </w:rPr>
              <w:t>"Admission Agreement"</w:t>
            </w:r>
          </w:p>
        </w:tc>
        <w:tc>
          <w:tcPr>
            <w:tcW w:w="5967" w:type="dxa"/>
            <w:shd w:val="clear" w:color="auto" w:fill="auto"/>
            <w:tcMar>
              <w:top w:w="0" w:type="dxa"/>
              <w:left w:w="108" w:type="dxa"/>
              <w:bottom w:w="0" w:type="dxa"/>
              <w:right w:w="108" w:type="dxa"/>
            </w:tcMar>
          </w:tcPr>
          <w:p w14:paraId="6D2947D4" w14:textId="77777777" w:rsidR="00745227" w:rsidRDefault="00604F6D">
            <w:pPr>
              <w:tabs>
                <w:tab w:val="left" w:pos="235"/>
              </w:tabs>
              <w:spacing w:before="120" w:after="120"/>
            </w:pPr>
            <w:r>
              <w:rPr>
                <w:rFonts w:eastAsia="STZhongsong"/>
                <w:bCs/>
              </w:rPr>
              <w:t xml:space="preserve">means </w:t>
            </w:r>
            <w:r>
              <w:t>either or both of the CSPS Admission Agreement (as defined in Annex D1: CSPS) or the LGPS Admission Agreement) as defined in Annex D3: LGPS), as the context requires;</w:t>
            </w:r>
          </w:p>
        </w:tc>
      </w:tr>
      <w:tr w:rsidR="00745227" w14:paraId="6E7A25B2" w14:textId="77777777">
        <w:trPr>
          <w:cantSplit/>
        </w:trPr>
        <w:tc>
          <w:tcPr>
            <w:tcW w:w="3049" w:type="dxa"/>
            <w:shd w:val="clear" w:color="auto" w:fill="auto"/>
            <w:tcMar>
              <w:top w:w="0" w:type="dxa"/>
              <w:left w:w="108" w:type="dxa"/>
              <w:bottom w:w="0" w:type="dxa"/>
              <w:right w:w="108" w:type="dxa"/>
            </w:tcMar>
          </w:tcPr>
          <w:p w14:paraId="42AD7CAB" w14:textId="77777777" w:rsidR="00745227" w:rsidRDefault="00604F6D">
            <w:pPr>
              <w:widowControl w:val="0"/>
              <w:spacing w:before="120" w:after="120"/>
              <w:rPr>
                <w:b/>
              </w:rPr>
            </w:pPr>
            <w:r>
              <w:rPr>
                <w:b/>
              </w:rPr>
              <w:t>"Broadly Comparable"</w:t>
            </w:r>
          </w:p>
        </w:tc>
        <w:tc>
          <w:tcPr>
            <w:tcW w:w="5967" w:type="dxa"/>
            <w:shd w:val="clear" w:color="auto" w:fill="auto"/>
            <w:tcMar>
              <w:top w:w="0" w:type="dxa"/>
              <w:left w:w="108" w:type="dxa"/>
              <w:bottom w:w="0" w:type="dxa"/>
              <w:right w:w="108" w:type="dxa"/>
            </w:tcMar>
          </w:tcPr>
          <w:p w14:paraId="149472DB" w14:textId="77777777" w:rsidR="00745227" w:rsidRDefault="00604F6D">
            <w:pPr>
              <w:widowControl w:val="0"/>
              <w:numPr>
                <w:ilvl w:val="0"/>
                <w:numId w:val="65"/>
              </w:numPr>
              <w:overflowPunct w:val="0"/>
              <w:autoSpaceDE w:val="0"/>
              <w:spacing w:before="120" w:after="120"/>
              <w:ind w:left="691" w:hanging="648"/>
            </w:pPr>
            <w: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p w14:paraId="1E070105" w14:textId="77777777" w:rsidR="00745227" w:rsidRDefault="00604F6D">
            <w:pPr>
              <w:widowControl w:val="0"/>
              <w:numPr>
                <w:ilvl w:val="0"/>
                <w:numId w:val="65"/>
              </w:numPr>
              <w:overflowPunct w:val="0"/>
              <w:autoSpaceDE w:val="0"/>
              <w:spacing w:before="120" w:after="120"/>
              <w:ind w:left="695" w:hanging="646"/>
            </w:pPr>
            <w:r>
              <w:t>in respect of benefits provided for or in respect of a member under a pension scheme, benefits that are consistent with that pension scheme’s certificate of broad comparability issued by the Government Actuary’s Department,</w:t>
            </w:r>
          </w:p>
          <w:p w14:paraId="0DBEDEE8" w14:textId="77777777" w:rsidR="00745227" w:rsidRDefault="00604F6D">
            <w:pPr>
              <w:widowControl w:val="0"/>
              <w:overflowPunct w:val="0"/>
              <w:autoSpaceDE w:val="0"/>
              <w:spacing w:before="120" w:after="120"/>
              <w:ind w:left="103"/>
            </w:pPr>
            <w:r>
              <w:t>and "</w:t>
            </w:r>
            <w:r>
              <w:rPr>
                <w:b/>
              </w:rPr>
              <w:t>Broad Comparability</w:t>
            </w:r>
            <w:r>
              <w:t>" shall be construed accordingly;</w:t>
            </w:r>
          </w:p>
        </w:tc>
      </w:tr>
      <w:tr w:rsidR="00745227" w14:paraId="624E95E1" w14:textId="77777777">
        <w:trPr>
          <w:cantSplit/>
        </w:trPr>
        <w:tc>
          <w:tcPr>
            <w:tcW w:w="3049" w:type="dxa"/>
            <w:shd w:val="clear" w:color="auto" w:fill="auto"/>
            <w:tcMar>
              <w:top w:w="0" w:type="dxa"/>
              <w:left w:w="108" w:type="dxa"/>
              <w:bottom w:w="0" w:type="dxa"/>
              <w:right w:w="108" w:type="dxa"/>
            </w:tcMar>
          </w:tcPr>
          <w:p w14:paraId="5F051F70" w14:textId="77777777" w:rsidR="00745227" w:rsidRDefault="00604F6D">
            <w:pPr>
              <w:widowControl w:val="0"/>
              <w:spacing w:before="120" w:after="120"/>
              <w:rPr>
                <w:b/>
              </w:rPr>
            </w:pPr>
            <w:r>
              <w:rPr>
                <w:b/>
              </w:rPr>
              <w:t>"CSPS"</w:t>
            </w:r>
          </w:p>
        </w:tc>
        <w:tc>
          <w:tcPr>
            <w:tcW w:w="5967" w:type="dxa"/>
            <w:shd w:val="clear" w:color="auto" w:fill="auto"/>
            <w:tcMar>
              <w:top w:w="0" w:type="dxa"/>
              <w:left w:w="108" w:type="dxa"/>
              <w:bottom w:w="0" w:type="dxa"/>
              <w:right w:w="108" w:type="dxa"/>
            </w:tcMar>
          </w:tcPr>
          <w:p w14:paraId="6293FC9A" w14:textId="77777777" w:rsidR="00745227" w:rsidRDefault="00604F6D">
            <w:pPr>
              <w:widowControl w:val="0"/>
              <w:spacing w:before="120" w:after="120"/>
            </w:pPr>
            <w:r>
              <w:t xml:space="preserve">the schemes as defined in Annex D1 to this Part D; </w:t>
            </w:r>
          </w:p>
        </w:tc>
      </w:tr>
      <w:tr w:rsidR="00745227" w14:paraId="561C9205" w14:textId="77777777">
        <w:trPr>
          <w:cantSplit/>
        </w:trPr>
        <w:tc>
          <w:tcPr>
            <w:tcW w:w="3049" w:type="dxa"/>
            <w:shd w:val="clear" w:color="auto" w:fill="auto"/>
            <w:tcMar>
              <w:top w:w="0" w:type="dxa"/>
              <w:left w:w="108" w:type="dxa"/>
              <w:bottom w:w="0" w:type="dxa"/>
              <w:right w:w="108" w:type="dxa"/>
            </w:tcMar>
          </w:tcPr>
          <w:p w14:paraId="7BD8D531" w14:textId="77777777" w:rsidR="00745227" w:rsidRDefault="00604F6D">
            <w:pPr>
              <w:widowControl w:val="0"/>
              <w:spacing w:before="120" w:after="120"/>
              <w:rPr>
                <w:b/>
              </w:rPr>
            </w:pPr>
            <w:r>
              <w:rPr>
                <w:b/>
              </w:rPr>
              <w:lastRenderedPageBreak/>
              <w:t>"Fair Deal Employees"</w:t>
            </w:r>
          </w:p>
        </w:tc>
        <w:tc>
          <w:tcPr>
            <w:tcW w:w="5967" w:type="dxa"/>
            <w:shd w:val="clear" w:color="auto" w:fill="auto"/>
            <w:tcMar>
              <w:top w:w="0" w:type="dxa"/>
              <w:left w:w="108" w:type="dxa"/>
              <w:bottom w:w="0" w:type="dxa"/>
              <w:right w:w="108" w:type="dxa"/>
            </w:tcMar>
          </w:tcPr>
          <w:p w14:paraId="4877ADB0" w14:textId="77777777" w:rsidR="00745227" w:rsidRDefault="00604F6D">
            <w:pPr>
              <w:widowControl w:val="0"/>
              <w:spacing w:before="120" w:after="120"/>
            </w:pPr>
            <w:r>
              <w:t>those:</w:t>
            </w:r>
          </w:p>
          <w:p w14:paraId="324F2091" w14:textId="77777777" w:rsidR="00745227" w:rsidRDefault="00604F6D">
            <w:pPr>
              <w:widowControl w:val="0"/>
              <w:numPr>
                <w:ilvl w:val="0"/>
                <w:numId w:val="66"/>
              </w:numPr>
              <w:tabs>
                <w:tab w:val="left" w:pos="695"/>
                <w:tab w:val="left" w:pos="743"/>
              </w:tabs>
              <w:overflowPunct w:val="0"/>
              <w:autoSpaceDE w:val="0"/>
              <w:spacing w:before="120" w:after="120"/>
              <w:ind w:left="743" w:hanging="709"/>
            </w:pPr>
            <w:r>
              <w:t xml:space="preserve">Transferring Buyer Employees; and/or </w:t>
            </w:r>
          </w:p>
          <w:p w14:paraId="20A1162C" w14:textId="77777777" w:rsidR="00745227" w:rsidRDefault="00604F6D">
            <w:pPr>
              <w:widowControl w:val="0"/>
              <w:numPr>
                <w:ilvl w:val="0"/>
                <w:numId w:val="66"/>
              </w:numPr>
              <w:tabs>
                <w:tab w:val="left" w:pos="695"/>
                <w:tab w:val="left" w:pos="743"/>
              </w:tabs>
              <w:overflowPunct w:val="0"/>
              <w:autoSpaceDE w:val="0"/>
              <w:spacing w:before="120" w:after="120"/>
              <w:ind w:left="743" w:hanging="709"/>
            </w:pPr>
            <w:r>
              <w:t>Transferring Former Supplier Employees; and/or</w:t>
            </w:r>
          </w:p>
          <w:p w14:paraId="5EDC5200" w14:textId="77777777" w:rsidR="00745227" w:rsidRDefault="00604F6D">
            <w:pPr>
              <w:widowControl w:val="0"/>
              <w:numPr>
                <w:ilvl w:val="0"/>
                <w:numId w:val="66"/>
              </w:numPr>
              <w:tabs>
                <w:tab w:val="left" w:pos="695"/>
                <w:tab w:val="left" w:pos="743"/>
              </w:tabs>
              <w:overflowPunct w:val="0"/>
              <w:autoSpaceDE w:val="0"/>
              <w:spacing w:before="120" w:after="120"/>
              <w:ind w:left="743" w:hanging="709"/>
            </w:pPr>
            <w: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Pr>
                <w:b/>
                <w:bCs/>
                <w:lang w:val="en-US"/>
              </w:rPr>
              <w:fldChar w:fldCharType="begin"/>
            </w:r>
            <w:r>
              <w:rPr>
                <w:b/>
                <w:bCs/>
                <w:lang w:val="en-US"/>
              </w:rPr>
              <w:instrText xml:space="preserve"> REF _Ref498680782 </w:instrText>
            </w:r>
            <w:r>
              <w:rPr>
                <w:b/>
                <w:bCs/>
                <w:lang w:val="en-US"/>
              </w:rPr>
              <w:fldChar w:fldCharType="separate"/>
            </w:r>
            <w:r>
              <w:rPr>
                <w:b/>
                <w:bCs/>
                <w:lang w:val="en-US"/>
              </w:rPr>
              <w:t>Error! Reference source not found.</w:t>
            </w:r>
            <w:r>
              <w:rPr>
                <w:b/>
                <w:bCs/>
                <w:lang w:val="en-US"/>
              </w:rPr>
              <w:fldChar w:fldCharType="end"/>
            </w:r>
            <w:r>
              <w:t xml:space="preserve"> of Parts A or B or Paragraph </w:t>
            </w:r>
            <w:r>
              <w:rPr>
                <w:b/>
                <w:bCs/>
                <w:lang w:val="en-US"/>
              </w:rPr>
              <w:fldChar w:fldCharType="begin"/>
            </w:r>
            <w:r>
              <w:rPr>
                <w:b/>
                <w:bCs/>
                <w:lang w:val="en-US"/>
              </w:rPr>
              <w:instrText xml:space="preserve"> REF _Ref490491291 </w:instrText>
            </w:r>
            <w:r>
              <w:rPr>
                <w:b/>
                <w:bCs/>
                <w:lang w:val="en-US"/>
              </w:rPr>
              <w:fldChar w:fldCharType="separate"/>
            </w:r>
            <w:r>
              <w:rPr>
                <w:b/>
                <w:bCs/>
                <w:lang w:val="en-US"/>
              </w:rPr>
              <w:t>Error! Reference source not found.</w:t>
            </w:r>
            <w:r>
              <w:rPr>
                <w:b/>
                <w:bCs/>
                <w:lang w:val="en-US"/>
              </w:rPr>
              <w:fldChar w:fldCharType="end"/>
            </w:r>
            <w:r>
              <w:t xml:space="preserve"> of Part C;</w:t>
            </w:r>
          </w:p>
          <w:p w14:paraId="4542B6CC" w14:textId="77777777" w:rsidR="00745227" w:rsidRDefault="00604F6D">
            <w:pPr>
              <w:widowControl w:val="0"/>
              <w:numPr>
                <w:ilvl w:val="0"/>
                <w:numId w:val="66"/>
              </w:numPr>
              <w:tabs>
                <w:tab w:val="left" w:pos="695"/>
                <w:tab w:val="left" w:pos="743"/>
              </w:tabs>
              <w:overflowPunct w:val="0"/>
              <w:autoSpaceDE w:val="0"/>
              <w:spacing w:before="120" w:after="120"/>
              <w:ind w:left="743" w:hanging="709"/>
            </w:pPr>
            <w:r>
              <w:t>where the Former Supplier becomes the Supplier those employees;</w:t>
            </w:r>
          </w:p>
          <w:p w14:paraId="2B6B800F" w14:textId="77777777" w:rsidR="00745227" w:rsidRDefault="00604F6D">
            <w:pPr>
              <w:widowControl w:val="0"/>
              <w:tabs>
                <w:tab w:val="left" w:pos="695"/>
              </w:tabs>
              <w:overflowPunct w:val="0"/>
              <w:autoSpaceDE w:val="0"/>
              <w:spacing w:before="120" w:after="120"/>
              <w:ind w:left="34"/>
            </w:pPr>
            <w:r>
              <w:t>who at the Commencement Date or Relevant Transfer Date (as appropriate) are or become entitled to New Fair Deal protection in respect of any of the Statutory Schemes as notified by the Buyer;</w:t>
            </w:r>
          </w:p>
        </w:tc>
      </w:tr>
      <w:tr w:rsidR="00745227" w14:paraId="6C91A660" w14:textId="77777777">
        <w:trPr>
          <w:cantSplit/>
        </w:trPr>
        <w:tc>
          <w:tcPr>
            <w:tcW w:w="3049" w:type="dxa"/>
            <w:shd w:val="clear" w:color="auto" w:fill="auto"/>
            <w:tcMar>
              <w:top w:w="0" w:type="dxa"/>
              <w:left w:w="108" w:type="dxa"/>
              <w:bottom w:w="0" w:type="dxa"/>
              <w:right w:w="108" w:type="dxa"/>
            </w:tcMar>
          </w:tcPr>
          <w:p w14:paraId="211AAA1A" w14:textId="77777777" w:rsidR="00745227" w:rsidRDefault="00604F6D">
            <w:pPr>
              <w:widowControl w:val="0"/>
              <w:spacing w:before="120" w:after="120"/>
              <w:rPr>
                <w:b/>
              </w:rPr>
            </w:pPr>
            <w:r>
              <w:rPr>
                <w:b/>
              </w:rPr>
              <w:t>"Fair Deal Schemes"</w:t>
            </w:r>
          </w:p>
        </w:tc>
        <w:tc>
          <w:tcPr>
            <w:tcW w:w="5967" w:type="dxa"/>
            <w:shd w:val="clear" w:color="auto" w:fill="auto"/>
            <w:tcMar>
              <w:top w:w="0" w:type="dxa"/>
              <w:left w:w="108" w:type="dxa"/>
              <w:bottom w:w="0" w:type="dxa"/>
              <w:right w:w="108" w:type="dxa"/>
            </w:tcMar>
          </w:tcPr>
          <w:p w14:paraId="16FC6A95" w14:textId="77777777" w:rsidR="00745227" w:rsidRDefault="00604F6D">
            <w:pPr>
              <w:widowControl w:val="0"/>
              <w:spacing w:before="120" w:after="120"/>
            </w:pPr>
            <w:r>
              <w:t>means the relevant Statutory Scheme or a Broadly Comparable pension scheme;</w:t>
            </w:r>
          </w:p>
        </w:tc>
      </w:tr>
      <w:tr w:rsidR="00745227" w14:paraId="49C5113B" w14:textId="77777777">
        <w:trPr>
          <w:cantSplit/>
        </w:trPr>
        <w:tc>
          <w:tcPr>
            <w:tcW w:w="3049" w:type="dxa"/>
            <w:shd w:val="clear" w:color="auto" w:fill="auto"/>
            <w:tcMar>
              <w:top w:w="0" w:type="dxa"/>
              <w:left w:w="108" w:type="dxa"/>
              <w:bottom w:w="0" w:type="dxa"/>
              <w:right w:w="108" w:type="dxa"/>
            </w:tcMar>
          </w:tcPr>
          <w:p w14:paraId="2AA89F52" w14:textId="77777777" w:rsidR="00745227" w:rsidRDefault="00604F6D">
            <w:pPr>
              <w:widowControl w:val="0"/>
              <w:spacing w:before="120" w:after="120"/>
              <w:rPr>
                <w:b/>
              </w:rPr>
            </w:pPr>
            <w:r>
              <w:rPr>
                <w:b/>
              </w:rPr>
              <w:t>"Fund Actuary"</w:t>
            </w:r>
          </w:p>
        </w:tc>
        <w:tc>
          <w:tcPr>
            <w:tcW w:w="5967" w:type="dxa"/>
            <w:shd w:val="clear" w:color="auto" w:fill="auto"/>
            <w:tcMar>
              <w:top w:w="0" w:type="dxa"/>
              <w:left w:w="108" w:type="dxa"/>
              <w:bottom w:w="0" w:type="dxa"/>
              <w:right w:w="108" w:type="dxa"/>
            </w:tcMar>
          </w:tcPr>
          <w:p w14:paraId="21F4DCBD" w14:textId="77777777" w:rsidR="00745227" w:rsidRDefault="00604F6D">
            <w:pPr>
              <w:widowControl w:val="0"/>
              <w:spacing w:before="120" w:after="120"/>
            </w:pPr>
            <w:r>
              <w:t>means Fund Actuary as defined in Annex D3 to this Part D;</w:t>
            </w:r>
          </w:p>
        </w:tc>
      </w:tr>
      <w:tr w:rsidR="00745227" w14:paraId="33C0526F" w14:textId="77777777">
        <w:trPr>
          <w:cantSplit/>
        </w:trPr>
        <w:tc>
          <w:tcPr>
            <w:tcW w:w="3049" w:type="dxa"/>
            <w:shd w:val="clear" w:color="auto" w:fill="auto"/>
            <w:tcMar>
              <w:top w:w="0" w:type="dxa"/>
              <w:left w:w="108" w:type="dxa"/>
              <w:bottom w:w="0" w:type="dxa"/>
              <w:right w:w="108" w:type="dxa"/>
            </w:tcMar>
          </w:tcPr>
          <w:p w14:paraId="2832E4B8" w14:textId="77777777" w:rsidR="00745227" w:rsidRDefault="00604F6D">
            <w:pPr>
              <w:widowControl w:val="0"/>
              <w:spacing w:before="120" w:after="120"/>
              <w:rPr>
                <w:b/>
              </w:rPr>
            </w:pPr>
            <w:r>
              <w:rPr>
                <w:b/>
              </w:rPr>
              <w:t>"LGPS"</w:t>
            </w:r>
          </w:p>
        </w:tc>
        <w:tc>
          <w:tcPr>
            <w:tcW w:w="5967" w:type="dxa"/>
            <w:shd w:val="clear" w:color="auto" w:fill="auto"/>
            <w:tcMar>
              <w:top w:w="0" w:type="dxa"/>
              <w:left w:w="108" w:type="dxa"/>
              <w:bottom w:w="0" w:type="dxa"/>
              <w:right w:w="108" w:type="dxa"/>
            </w:tcMar>
          </w:tcPr>
          <w:p w14:paraId="437D29FB" w14:textId="77777777" w:rsidR="00745227" w:rsidRDefault="00604F6D">
            <w:pPr>
              <w:widowControl w:val="0"/>
              <w:spacing w:before="120" w:after="120"/>
            </w:pPr>
            <w:r>
              <w:t>the schemes as defined in Annex D3 to this Part D;</w:t>
            </w:r>
          </w:p>
        </w:tc>
      </w:tr>
      <w:tr w:rsidR="00745227" w14:paraId="1B9D9DD7" w14:textId="77777777">
        <w:trPr>
          <w:cantSplit/>
        </w:trPr>
        <w:tc>
          <w:tcPr>
            <w:tcW w:w="3049" w:type="dxa"/>
            <w:shd w:val="clear" w:color="auto" w:fill="auto"/>
            <w:tcMar>
              <w:top w:w="0" w:type="dxa"/>
              <w:left w:w="108" w:type="dxa"/>
              <w:bottom w:w="0" w:type="dxa"/>
              <w:right w:w="108" w:type="dxa"/>
            </w:tcMar>
          </w:tcPr>
          <w:p w14:paraId="74273467" w14:textId="77777777" w:rsidR="00745227" w:rsidRDefault="00604F6D">
            <w:pPr>
              <w:widowControl w:val="0"/>
              <w:spacing w:before="120" w:after="120"/>
              <w:rPr>
                <w:b/>
              </w:rPr>
            </w:pPr>
            <w:r>
              <w:rPr>
                <w:b/>
              </w:rPr>
              <w:t>"NHSPS"</w:t>
            </w:r>
          </w:p>
        </w:tc>
        <w:tc>
          <w:tcPr>
            <w:tcW w:w="5967" w:type="dxa"/>
            <w:shd w:val="clear" w:color="auto" w:fill="auto"/>
            <w:tcMar>
              <w:top w:w="0" w:type="dxa"/>
              <w:left w:w="108" w:type="dxa"/>
              <w:bottom w:w="0" w:type="dxa"/>
              <w:right w:w="108" w:type="dxa"/>
            </w:tcMar>
          </w:tcPr>
          <w:p w14:paraId="1F124995" w14:textId="77777777" w:rsidR="00745227" w:rsidRDefault="00604F6D">
            <w:pPr>
              <w:keepNext/>
              <w:widowControl w:val="0"/>
              <w:spacing w:before="120" w:after="120"/>
            </w:pPr>
            <w:r>
              <w:t>the schemes as defined in Annex D2 to this Part D;</w:t>
            </w:r>
          </w:p>
        </w:tc>
      </w:tr>
      <w:tr w:rsidR="00745227" w14:paraId="19B310FC" w14:textId="77777777">
        <w:trPr>
          <w:cantSplit/>
        </w:trPr>
        <w:tc>
          <w:tcPr>
            <w:tcW w:w="3049" w:type="dxa"/>
            <w:shd w:val="clear" w:color="auto" w:fill="auto"/>
            <w:tcMar>
              <w:top w:w="0" w:type="dxa"/>
              <w:left w:w="108" w:type="dxa"/>
              <w:bottom w:w="0" w:type="dxa"/>
              <w:right w:w="108" w:type="dxa"/>
            </w:tcMar>
          </w:tcPr>
          <w:p w14:paraId="08BD0A3D" w14:textId="77777777" w:rsidR="00745227" w:rsidRDefault="00604F6D">
            <w:pPr>
              <w:widowControl w:val="0"/>
              <w:spacing w:before="120" w:after="120"/>
              <w:rPr>
                <w:b/>
              </w:rPr>
            </w:pPr>
            <w:r>
              <w:rPr>
                <w:b/>
              </w:rPr>
              <w:t>"New Fair Deal"</w:t>
            </w:r>
          </w:p>
        </w:tc>
        <w:tc>
          <w:tcPr>
            <w:tcW w:w="5967" w:type="dxa"/>
            <w:shd w:val="clear" w:color="auto" w:fill="auto"/>
            <w:tcMar>
              <w:top w:w="0" w:type="dxa"/>
              <w:left w:w="108" w:type="dxa"/>
              <w:bottom w:w="0" w:type="dxa"/>
              <w:right w:w="108" w:type="dxa"/>
            </w:tcMar>
          </w:tcPr>
          <w:p w14:paraId="573E846D" w14:textId="77777777" w:rsidR="00745227" w:rsidRDefault="00604F6D">
            <w:pPr>
              <w:spacing w:before="120" w:after="120"/>
            </w:pPr>
            <w:r>
              <w:t>the revised Fair Deal position set out in the HM Treasury guidance:  "</w:t>
            </w:r>
            <w:r>
              <w:rPr>
                <w:i/>
              </w:rPr>
              <w:t>Fair Deal for Staff Pensions: Staff Transfer from Central Government</w:t>
            </w:r>
            <w:r>
              <w:t>" issued in October 2013 including:</w:t>
            </w:r>
          </w:p>
          <w:p w14:paraId="146B2144" w14:textId="77777777" w:rsidR="00745227" w:rsidRDefault="00604F6D">
            <w:pPr>
              <w:widowControl w:val="0"/>
              <w:numPr>
                <w:ilvl w:val="0"/>
                <w:numId w:val="67"/>
              </w:numPr>
              <w:overflowPunct w:val="0"/>
              <w:autoSpaceDE w:val="0"/>
              <w:spacing w:before="120" w:after="120"/>
              <w:ind w:left="743" w:hanging="709"/>
            </w:pPr>
            <w:r>
              <w:t>any amendments to that document immediately prior to the Relevant Transfer Date; and</w:t>
            </w:r>
          </w:p>
          <w:p w14:paraId="6CE7F51B" w14:textId="77777777" w:rsidR="00745227" w:rsidRDefault="00604F6D">
            <w:pPr>
              <w:widowControl w:val="0"/>
              <w:numPr>
                <w:ilvl w:val="0"/>
                <w:numId w:val="67"/>
              </w:numPr>
              <w:overflowPunct w:val="0"/>
              <w:autoSpaceDE w:val="0"/>
              <w:spacing w:before="120" w:after="120"/>
              <w:ind w:left="743" w:hanging="709"/>
            </w:pPr>
            <w:r>
              <w:t>any similar pension protection in accordance with the subsequent Annex D1-D3 inclusive as notified to the Supplier by the CCS or Buyer; and</w:t>
            </w:r>
          </w:p>
        </w:tc>
      </w:tr>
      <w:tr w:rsidR="00745227" w14:paraId="451C6F68" w14:textId="77777777">
        <w:trPr>
          <w:cantSplit/>
        </w:trPr>
        <w:tc>
          <w:tcPr>
            <w:tcW w:w="3049" w:type="dxa"/>
            <w:shd w:val="clear" w:color="auto" w:fill="auto"/>
            <w:tcMar>
              <w:top w:w="0" w:type="dxa"/>
              <w:left w:w="108" w:type="dxa"/>
              <w:bottom w:w="0" w:type="dxa"/>
              <w:right w:w="108" w:type="dxa"/>
            </w:tcMar>
          </w:tcPr>
          <w:p w14:paraId="059F56E9" w14:textId="77777777" w:rsidR="00745227" w:rsidRDefault="00604F6D">
            <w:pPr>
              <w:widowControl w:val="0"/>
              <w:spacing w:before="120" w:after="120"/>
              <w:rPr>
                <w:b/>
              </w:rPr>
            </w:pPr>
            <w:r>
              <w:rPr>
                <w:b/>
              </w:rPr>
              <w:t>"Statutory Schemes"</w:t>
            </w:r>
          </w:p>
        </w:tc>
        <w:tc>
          <w:tcPr>
            <w:tcW w:w="5967" w:type="dxa"/>
            <w:shd w:val="clear" w:color="auto" w:fill="auto"/>
            <w:tcMar>
              <w:top w:w="0" w:type="dxa"/>
              <w:left w:w="108" w:type="dxa"/>
              <w:bottom w:w="0" w:type="dxa"/>
              <w:right w:w="108" w:type="dxa"/>
            </w:tcMar>
          </w:tcPr>
          <w:p w14:paraId="4CD5E76F" w14:textId="77777777" w:rsidR="00745227" w:rsidRDefault="00604F6D">
            <w:pPr>
              <w:spacing w:before="120" w:after="120"/>
            </w:pPr>
            <w:r>
              <w:t>means the CSPS, NHSPS or LGPS.</w:t>
            </w:r>
          </w:p>
        </w:tc>
      </w:tr>
    </w:tbl>
    <w:p w14:paraId="3DE30ED3" w14:textId="77777777" w:rsidR="00745227" w:rsidRDefault="00604F6D">
      <w:pPr>
        <w:pStyle w:val="Heading3"/>
        <w:numPr>
          <w:ilvl w:val="0"/>
          <w:numId w:val="64"/>
        </w:numPr>
        <w:ind w:left="567" w:hanging="567"/>
      </w:pPr>
      <w:bookmarkStart w:id="23" w:name="_Toc83731454"/>
      <w:r>
        <w:t>Supplier obligations to participate in the pension schemes</w:t>
      </w:r>
      <w:bookmarkEnd w:id="23"/>
    </w:p>
    <w:p w14:paraId="4ABC85CD" w14:textId="77777777" w:rsidR="00745227" w:rsidRDefault="00604F6D">
      <w:pPr>
        <w:pStyle w:val="Standard"/>
        <w:numPr>
          <w:ilvl w:val="1"/>
          <w:numId w:val="64"/>
        </w:numPr>
        <w:spacing w:after="240"/>
        <w:ind w:left="1134" w:hanging="567"/>
      </w:pPr>
      <w:r>
        <w:t>In respect of all or any Fair Deal Employees each of Annex D1: CSPS, Annex D2: NHSPS and/or Annex D3: LGPS shall apply, as appropriate.</w:t>
      </w:r>
    </w:p>
    <w:p w14:paraId="3D65D873" w14:textId="77777777" w:rsidR="00745227" w:rsidRDefault="00604F6D">
      <w:pPr>
        <w:pStyle w:val="Standard"/>
        <w:numPr>
          <w:ilvl w:val="1"/>
          <w:numId w:val="64"/>
        </w:numPr>
        <w:spacing w:after="240"/>
        <w:ind w:left="1134" w:hanging="567"/>
      </w:pPr>
      <w: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072D787E" w14:textId="77777777" w:rsidR="00745227" w:rsidRDefault="00604F6D">
      <w:pPr>
        <w:pStyle w:val="Standard"/>
        <w:numPr>
          <w:ilvl w:val="1"/>
          <w:numId w:val="64"/>
        </w:numPr>
        <w:spacing w:after="240"/>
        <w:ind w:left="1134" w:hanging="567"/>
      </w:pPr>
      <w:r>
        <w:lastRenderedPageBreak/>
        <w:t>The Supplier undertakes:</w:t>
      </w:r>
    </w:p>
    <w:p w14:paraId="76741C8A" w14:textId="77777777" w:rsidR="00745227" w:rsidRDefault="00604F6D">
      <w:pPr>
        <w:pStyle w:val="Standard"/>
        <w:numPr>
          <w:ilvl w:val="2"/>
          <w:numId w:val="64"/>
        </w:numPr>
        <w:spacing w:after="240"/>
        <w:ind w:left="1985" w:hanging="851"/>
      </w:pPr>
      <w:r>
        <w:t>to pay to the Statutory Schemes all such amounts as are due under the relevant Admission Agreement and/or Direction Letter or otherwise and shall deduct and pay to the Statutory Schemes such employee contributions as are required; and</w:t>
      </w:r>
    </w:p>
    <w:p w14:paraId="5F77BEC3" w14:textId="77777777" w:rsidR="00745227" w:rsidRDefault="00604F6D">
      <w:pPr>
        <w:pStyle w:val="Standard"/>
        <w:numPr>
          <w:ilvl w:val="2"/>
          <w:numId w:val="64"/>
        </w:numPr>
        <w:spacing w:after="240"/>
        <w:ind w:left="1985" w:hanging="851"/>
      </w:pPr>
      <w: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0FDE1696" w14:textId="77777777" w:rsidR="00745227" w:rsidRDefault="00604F6D">
      <w:pPr>
        <w:pStyle w:val="Heading3"/>
        <w:numPr>
          <w:ilvl w:val="0"/>
          <w:numId w:val="64"/>
        </w:numPr>
      </w:pPr>
      <w:bookmarkStart w:id="24" w:name="_Toc83731455"/>
      <w:r>
        <w:t>Supplier obligation to provide information</w:t>
      </w:r>
      <w:bookmarkEnd w:id="24"/>
    </w:p>
    <w:p w14:paraId="56152081" w14:textId="77777777" w:rsidR="00745227" w:rsidRDefault="00604F6D">
      <w:pPr>
        <w:pStyle w:val="Standard"/>
        <w:numPr>
          <w:ilvl w:val="1"/>
          <w:numId w:val="64"/>
        </w:numPr>
        <w:spacing w:after="240"/>
        <w:ind w:left="1134" w:hanging="567"/>
      </w:pPr>
      <w:r>
        <w:t>The Supplier undertakes to the Buyer:</w:t>
      </w:r>
    </w:p>
    <w:p w14:paraId="038CCE8E" w14:textId="77777777" w:rsidR="00745227" w:rsidRDefault="00604F6D">
      <w:pPr>
        <w:pStyle w:val="Standard"/>
        <w:numPr>
          <w:ilvl w:val="2"/>
          <w:numId w:val="64"/>
        </w:numPr>
        <w:spacing w:after="240"/>
        <w:ind w:left="1985" w:hanging="851"/>
      </w:pPr>
      <w:r>
        <w:t>to provide all information which the Buyer may reasonably request concerning matters referred to in this Part D as expeditiously as possible; and</w:t>
      </w:r>
    </w:p>
    <w:p w14:paraId="4BDCE152" w14:textId="77777777" w:rsidR="00745227" w:rsidRDefault="00604F6D">
      <w:pPr>
        <w:pStyle w:val="Standard"/>
        <w:numPr>
          <w:ilvl w:val="2"/>
          <w:numId w:val="64"/>
        </w:numPr>
        <w:spacing w:after="240"/>
        <w:ind w:left="1985" w:hanging="851"/>
      </w:pPr>
      <w:r>
        <w:t>not to issue any announcements to any Fair Deal Employee prior to the Relevant Transfer Date concerning the matters stated in this Part D without the consent in writing of the Buyer (such consent not to be unreasonably withheld or delayed).</w:t>
      </w:r>
    </w:p>
    <w:p w14:paraId="73BCE86B" w14:textId="77777777" w:rsidR="00745227" w:rsidRDefault="00604F6D">
      <w:pPr>
        <w:pStyle w:val="Heading3"/>
        <w:numPr>
          <w:ilvl w:val="0"/>
          <w:numId w:val="64"/>
        </w:numPr>
      </w:pPr>
      <w:bookmarkStart w:id="25" w:name="_Toc83731456"/>
      <w:r>
        <w:t>Indemnities the Supplier must give</w:t>
      </w:r>
      <w:bookmarkEnd w:id="25"/>
    </w:p>
    <w:p w14:paraId="312D44B6" w14:textId="77777777" w:rsidR="00745227" w:rsidRDefault="00604F6D">
      <w:pPr>
        <w:pStyle w:val="Standard"/>
        <w:numPr>
          <w:ilvl w:val="1"/>
          <w:numId w:val="64"/>
        </w:numPr>
        <w:spacing w:after="240"/>
        <w:ind w:left="1134" w:hanging="567"/>
      </w:pPr>
      <w:r>
        <w:t xml:space="preserve">The Supplier undertakes to the Buyer  to indemnify and keep indemnified CCS, NHS Pensions, the Buyer 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30B1CD10" w14:textId="77777777" w:rsidR="00745227" w:rsidRDefault="00604F6D">
      <w:pPr>
        <w:pStyle w:val="Standard"/>
        <w:numPr>
          <w:ilvl w:val="1"/>
          <w:numId w:val="64"/>
        </w:numPr>
        <w:spacing w:after="240"/>
        <w:ind w:left="1134" w:hanging="567"/>
      </w:pPr>
      <w:r>
        <w:t xml:space="preserve">The Supplier hereby indemnifies the CCS, NHS Pensions, the Buyer 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t>
      </w:r>
      <w:proofErr w:type="gramStart"/>
      <w:r>
        <w:t>which</w:t>
      </w:r>
      <w:proofErr w:type="gramEnd"/>
      <w:r>
        <w:t xml:space="preserve"> Losses:</w:t>
      </w:r>
    </w:p>
    <w:p w14:paraId="3014BB93" w14:textId="77777777" w:rsidR="00745227" w:rsidRDefault="00604F6D">
      <w:pPr>
        <w:pStyle w:val="Standard"/>
        <w:numPr>
          <w:ilvl w:val="2"/>
          <w:numId w:val="64"/>
        </w:numPr>
        <w:spacing w:after="240"/>
        <w:ind w:left="1985" w:hanging="851"/>
      </w:pPr>
      <w:r>
        <w:t>relate to pension rights in respect of periods of employment on and after the Relevant Transfer Date until the date of termination or expiry of this Contract; or</w:t>
      </w:r>
    </w:p>
    <w:p w14:paraId="266CCB4C" w14:textId="77777777" w:rsidR="00745227" w:rsidRDefault="00604F6D">
      <w:pPr>
        <w:pStyle w:val="Standard"/>
        <w:numPr>
          <w:ilvl w:val="2"/>
          <w:numId w:val="64"/>
        </w:numPr>
        <w:spacing w:after="240"/>
        <w:ind w:left="1985" w:hanging="851"/>
      </w:pPr>
      <w:r>
        <w:t xml:space="preserve">arise out of the failure of the Supplier and/or any relevant Sub-contractor to comply with the provisions of this Part D before the date of termination or expiry of this Contract. </w:t>
      </w:r>
    </w:p>
    <w:p w14:paraId="36BFF4BB" w14:textId="77777777" w:rsidR="00745227" w:rsidRDefault="00604F6D">
      <w:pPr>
        <w:pStyle w:val="Standard"/>
        <w:numPr>
          <w:ilvl w:val="1"/>
          <w:numId w:val="64"/>
        </w:numPr>
        <w:spacing w:after="240"/>
        <w:ind w:left="1134" w:hanging="567"/>
      </w:pPr>
      <w:r>
        <w:t>The indemnities in this Part D and its Annexes:</w:t>
      </w:r>
    </w:p>
    <w:p w14:paraId="7D1C86C4" w14:textId="77777777" w:rsidR="00745227" w:rsidRDefault="00604F6D">
      <w:pPr>
        <w:pStyle w:val="Standard"/>
        <w:numPr>
          <w:ilvl w:val="2"/>
          <w:numId w:val="64"/>
        </w:numPr>
        <w:spacing w:after="240"/>
        <w:ind w:left="1985" w:hanging="851"/>
      </w:pPr>
      <w:r>
        <w:lastRenderedPageBreak/>
        <w:t>shall survive termination of this Contract; and</w:t>
      </w:r>
    </w:p>
    <w:p w14:paraId="4A6B0F6E" w14:textId="77777777" w:rsidR="00745227" w:rsidRDefault="00604F6D">
      <w:pPr>
        <w:pStyle w:val="Standard"/>
        <w:numPr>
          <w:ilvl w:val="2"/>
          <w:numId w:val="64"/>
        </w:numPr>
        <w:spacing w:after="240"/>
        <w:ind w:left="1985" w:hanging="851"/>
      </w:pPr>
      <w:r>
        <w:t>shall not be affected by the caps on liability contained in Clause 11 (How much you can be held responsible for).</w:t>
      </w:r>
    </w:p>
    <w:p w14:paraId="083BBD1D" w14:textId="77777777" w:rsidR="00745227" w:rsidRDefault="00604F6D">
      <w:pPr>
        <w:pStyle w:val="Heading3"/>
        <w:numPr>
          <w:ilvl w:val="0"/>
          <w:numId w:val="64"/>
        </w:numPr>
        <w:ind w:left="567" w:hanging="567"/>
      </w:pPr>
      <w:bookmarkStart w:id="26" w:name="_Toc83731457"/>
      <w:r>
        <w:t>What happens if there is a dispute</w:t>
      </w:r>
      <w:bookmarkEnd w:id="26"/>
    </w:p>
    <w:p w14:paraId="76D2C651" w14:textId="77777777" w:rsidR="00745227" w:rsidRDefault="00604F6D">
      <w:pPr>
        <w:pStyle w:val="Standard"/>
        <w:numPr>
          <w:ilvl w:val="1"/>
          <w:numId w:val="64"/>
        </w:numPr>
        <w:spacing w:after="240"/>
        <w:ind w:left="1134" w:hanging="567"/>
      </w:pPr>
      <w:r>
        <w:t>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w:t>
      </w:r>
    </w:p>
    <w:p w14:paraId="0F0F07E4" w14:textId="77777777" w:rsidR="00745227" w:rsidRDefault="00604F6D">
      <w:pPr>
        <w:pStyle w:val="Standard"/>
        <w:numPr>
          <w:ilvl w:val="2"/>
          <w:numId w:val="64"/>
        </w:numPr>
        <w:spacing w:after="240"/>
        <w:ind w:left="1985" w:hanging="851"/>
      </w:pPr>
      <w:r>
        <w:t xml:space="preserve">who will act as an expert and not as an arbitrator; </w:t>
      </w:r>
    </w:p>
    <w:p w14:paraId="4EAE700C" w14:textId="77777777" w:rsidR="00745227" w:rsidRDefault="00604F6D">
      <w:pPr>
        <w:pStyle w:val="Standard"/>
        <w:numPr>
          <w:ilvl w:val="2"/>
          <w:numId w:val="64"/>
        </w:numPr>
        <w:spacing w:after="240"/>
        <w:ind w:left="1985" w:hanging="851"/>
      </w:pPr>
      <w:r>
        <w:t xml:space="preserve">whose decision will be final and binding on the CCS and/or the Buyer and/or the Supplier; and </w:t>
      </w:r>
    </w:p>
    <w:p w14:paraId="150D5B5F" w14:textId="77777777" w:rsidR="00745227" w:rsidRDefault="00604F6D">
      <w:pPr>
        <w:pStyle w:val="Standard"/>
        <w:numPr>
          <w:ilvl w:val="2"/>
          <w:numId w:val="64"/>
        </w:numPr>
        <w:spacing w:after="240"/>
        <w:ind w:left="1985" w:hanging="851"/>
      </w:pPr>
      <w:r>
        <w:t>whose expenses shall be borne equally by the CCS and/or the Buyer and/or the Supplier unless the independent Actuary shall otherwise direct.</w:t>
      </w:r>
    </w:p>
    <w:p w14:paraId="3C770B47" w14:textId="77777777" w:rsidR="00745227" w:rsidRDefault="00604F6D">
      <w:pPr>
        <w:pStyle w:val="Heading3"/>
        <w:numPr>
          <w:ilvl w:val="0"/>
          <w:numId w:val="64"/>
        </w:numPr>
      </w:pPr>
      <w:bookmarkStart w:id="27" w:name="_Toc83731458"/>
      <w:r>
        <w:t>Other people’s rights</w:t>
      </w:r>
      <w:bookmarkEnd w:id="27"/>
    </w:p>
    <w:p w14:paraId="3DF86C5F" w14:textId="77777777" w:rsidR="00745227" w:rsidRDefault="00604F6D">
      <w:pPr>
        <w:pStyle w:val="Standard"/>
        <w:numPr>
          <w:ilvl w:val="1"/>
          <w:numId w:val="64"/>
        </w:numPr>
        <w:spacing w:after="240"/>
        <w:ind w:left="1134" w:hanging="567"/>
      </w:pPr>
      <w: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 (1) of the CRTPA. </w:t>
      </w:r>
    </w:p>
    <w:p w14:paraId="7E626095" w14:textId="77777777" w:rsidR="00745227" w:rsidRDefault="00604F6D">
      <w:pPr>
        <w:pStyle w:val="Standard"/>
        <w:numPr>
          <w:ilvl w:val="1"/>
          <w:numId w:val="64"/>
        </w:numPr>
        <w:spacing w:after="240"/>
        <w:ind w:left="1134" w:hanging="567"/>
      </w:pPr>
      <w:r>
        <w:t>Further, the Supplier must ensure that the CRTPA will apply to any Sub-Contract to the extent necessary to ensure that any Fair Deal Employee will have the right to enforce any obligation owed to them by the Sub-contractor in his or her or its own right under section 1 (1) of the CRTPA.</w:t>
      </w:r>
    </w:p>
    <w:p w14:paraId="1F203FCC" w14:textId="77777777" w:rsidR="00745227" w:rsidRDefault="00604F6D">
      <w:pPr>
        <w:pStyle w:val="Heading3"/>
        <w:numPr>
          <w:ilvl w:val="0"/>
          <w:numId w:val="64"/>
        </w:numPr>
        <w:ind w:left="567" w:hanging="567"/>
      </w:pPr>
      <w:bookmarkStart w:id="28" w:name="_Toc83731459"/>
      <w:r>
        <w:t>What happens if there is a breach of this Part D</w:t>
      </w:r>
      <w:bookmarkEnd w:id="28"/>
    </w:p>
    <w:p w14:paraId="333C3EC4" w14:textId="77777777" w:rsidR="00745227" w:rsidRDefault="00604F6D">
      <w:pPr>
        <w:pStyle w:val="Standard"/>
        <w:numPr>
          <w:ilvl w:val="1"/>
          <w:numId w:val="64"/>
        </w:numPr>
        <w:spacing w:after="240"/>
        <w:ind w:left="1134" w:hanging="567"/>
      </w:pPr>
      <w:r>
        <w:t>The Supplier agrees to notify the Buyer should it breach any obligations it has under this Part D and agrees that the Buyer shall be entitled to terminate its Contract for material Default in the event that the Supplier:</w:t>
      </w:r>
    </w:p>
    <w:p w14:paraId="2940ADE3" w14:textId="77777777" w:rsidR="00745227" w:rsidRDefault="00604F6D">
      <w:pPr>
        <w:pStyle w:val="Standard"/>
        <w:numPr>
          <w:ilvl w:val="2"/>
          <w:numId w:val="64"/>
        </w:numPr>
        <w:spacing w:after="240"/>
        <w:ind w:left="1985" w:hanging="851"/>
      </w:pPr>
      <w:r>
        <w:t>commits an irremediable breach of any provision or obligation it has under this Part D; or</w:t>
      </w:r>
    </w:p>
    <w:p w14:paraId="315B9849" w14:textId="77777777" w:rsidR="00745227" w:rsidRDefault="00604F6D">
      <w:pPr>
        <w:pStyle w:val="Standard"/>
        <w:numPr>
          <w:ilvl w:val="2"/>
          <w:numId w:val="64"/>
        </w:numPr>
        <w:spacing w:after="240"/>
        <w:ind w:left="1985" w:hanging="851"/>
      </w:pPr>
      <w: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1EDF28D" w14:textId="77777777" w:rsidR="00745227" w:rsidRDefault="00604F6D">
      <w:pPr>
        <w:pStyle w:val="Heading3"/>
        <w:numPr>
          <w:ilvl w:val="0"/>
          <w:numId w:val="64"/>
        </w:numPr>
      </w:pPr>
      <w:bookmarkStart w:id="29" w:name="_Toc83731460"/>
      <w:r>
        <w:t>Transferring New Fair Deal Employees</w:t>
      </w:r>
      <w:bookmarkEnd w:id="29"/>
    </w:p>
    <w:p w14:paraId="407ED062" w14:textId="77777777" w:rsidR="00745227" w:rsidRDefault="00604F6D">
      <w:pPr>
        <w:pStyle w:val="Standard"/>
        <w:numPr>
          <w:ilvl w:val="1"/>
          <w:numId w:val="64"/>
        </w:numPr>
        <w:spacing w:after="240"/>
        <w:ind w:left="1134" w:hanging="567"/>
      </w:pPr>
      <w:r>
        <w:t>Save on expiry or termination of this Contract, if the employment of any Fair Deal Employee transfers to another employer (by way of a transfer under the Employment Regulations) the Supplier shall procure that any relevant Sub-Contractor shall:</w:t>
      </w:r>
    </w:p>
    <w:p w14:paraId="5C0D0C2D" w14:textId="77777777" w:rsidR="00745227" w:rsidRDefault="00604F6D">
      <w:pPr>
        <w:pStyle w:val="Standard"/>
        <w:numPr>
          <w:ilvl w:val="2"/>
          <w:numId w:val="64"/>
        </w:numPr>
        <w:spacing w:after="240"/>
        <w:ind w:left="1985" w:hanging="851"/>
      </w:pPr>
      <w:r>
        <w:lastRenderedPageBreak/>
        <w:t>consult with and inform those Fair Deal Employees of the pension provisions relating to that transfer; and</w:t>
      </w:r>
    </w:p>
    <w:p w14:paraId="7B990C9C" w14:textId="77777777" w:rsidR="00745227" w:rsidRDefault="00604F6D">
      <w:pPr>
        <w:pStyle w:val="Standard"/>
        <w:numPr>
          <w:ilvl w:val="2"/>
          <w:numId w:val="64"/>
        </w:numPr>
        <w:spacing w:after="240"/>
        <w:ind w:left="1985" w:hanging="851"/>
      </w:pPr>
      <w:r>
        <w:t>procure that the employer to which the Fair Deal Employees are transferred (the "New Employer")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3985BCF3" w14:textId="77777777" w:rsidR="00745227" w:rsidRDefault="00604F6D">
      <w:pPr>
        <w:pStyle w:val="Heading3"/>
        <w:numPr>
          <w:ilvl w:val="0"/>
          <w:numId w:val="64"/>
        </w:numPr>
      </w:pPr>
      <w:bookmarkStart w:id="30" w:name="_Toc83731461"/>
      <w:r>
        <w:t>What happens to pensions if this Contract ends</w:t>
      </w:r>
      <w:bookmarkEnd w:id="30"/>
    </w:p>
    <w:p w14:paraId="5AAE8EEB" w14:textId="77777777" w:rsidR="00745227" w:rsidRDefault="00604F6D">
      <w:pPr>
        <w:pStyle w:val="Standard"/>
        <w:numPr>
          <w:ilvl w:val="1"/>
          <w:numId w:val="64"/>
        </w:numPr>
        <w:spacing w:after="240"/>
        <w:ind w:left="1134" w:hanging="567"/>
      </w:pPr>
      <w:r>
        <w:t xml:space="preserve">The provisions of Part E: Staff Transfer </w:t>
      </w:r>
      <w:proofErr w:type="gramStart"/>
      <w:r>
        <w:t>On</w:t>
      </w:r>
      <w:proofErr w:type="gramEnd"/>
      <w:r>
        <w:t xml:space="preserve"> Exit (Mandatory) apply in relation to pension issues on expiry or termination of this Contract.</w:t>
      </w:r>
    </w:p>
    <w:p w14:paraId="75ADA2A3" w14:textId="77777777" w:rsidR="00745227" w:rsidRDefault="00604F6D">
      <w:pPr>
        <w:pStyle w:val="Heading3"/>
        <w:numPr>
          <w:ilvl w:val="0"/>
          <w:numId w:val="64"/>
        </w:numPr>
      </w:pPr>
      <w:bookmarkStart w:id="31" w:name="_Toc83731462"/>
      <w:r>
        <w:t>Broadly Comparable Pension Schemes</w:t>
      </w:r>
      <w:bookmarkEnd w:id="31"/>
    </w:p>
    <w:p w14:paraId="21453C2E" w14:textId="77777777" w:rsidR="00745227" w:rsidRDefault="00604F6D">
      <w:pPr>
        <w:pStyle w:val="Standard"/>
        <w:numPr>
          <w:ilvl w:val="1"/>
          <w:numId w:val="64"/>
        </w:numPr>
        <w:spacing w:after="240"/>
        <w:ind w:left="1134" w:hanging="567"/>
      </w:pPr>
      <w:r>
        <w:t>If either:</w:t>
      </w:r>
    </w:p>
    <w:p w14:paraId="78227903" w14:textId="77777777" w:rsidR="00745227" w:rsidRDefault="00604F6D">
      <w:pPr>
        <w:pStyle w:val="Standard"/>
        <w:numPr>
          <w:ilvl w:val="2"/>
          <w:numId w:val="64"/>
        </w:numPr>
        <w:spacing w:after="240"/>
        <w:ind w:left="1985" w:hanging="851"/>
      </w:pPr>
      <w:r>
        <w:t xml:space="preserve">the terms of any of Paragraphs </w:t>
      </w:r>
      <w:r>
        <w:rPr>
          <w:cs/>
        </w:rPr>
        <w:t>‎</w:t>
      </w:r>
      <w:r>
        <w:t xml:space="preserve">2.2 of Annex D1: CSPS, </w:t>
      </w:r>
      <w:r>
        <w:rPr>
          <w:cs/>
        </w:rPr>
        <w:t>‎</w:t>
      </w:r>
      <w:r>
        <w:t>5.2 of Annex D2: NHSPS and/or 4 of Annex D3: LGPS apply; and/or</w:t>
      </w:r>
    </w:p>
    <w:p w14:paraId="5D897328" w14:textId="77777777" w:rsidR="00745227" w:rsidRDefault="00604F6D">
      <w:pPr>
        <w:pStyle w:val="Standard"/>
        <w:numPr>
          <w:ilvl w:val="2"/>
          <w:numId w:val="64"/>
        </w:numPr>
        <w:spacing w:after="240"/>
        <w:ind w:left="1985" w:hanging="851"/>
      </w:pPr>
      <w: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758DC8E7" w14:textId="7BF5BFEE" w:rsidR="00745227" w:rsidRDefault="00604F6D" w:rsidP="00216D74">
      <w:pPr>
        <w:pStyle w:val="Standard"/>
        <w:spacing w:after="240"/>
        <w:ind w:left="1134"/>
      </w:pPr>
      <w: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5B614A9D" w14:textId="77777777" w:rsidR="00745227" w:rsidRDefault="00604F6D">
      <w:pPr>
        <w:pStyle w:val="Standard"/>
        <w:numPr>
          <w:ilvl w:val="1"/>
          <w:numId w:val="64"/>
        </w:numPr>
        <w:spacing w:after="240"/>
        <w:ind w:left="1134" w:hanging="567"/>
      </w:pPr>
      <w:r>
        <w:t xml:space="preserve">Where the Supplier has set up a Broadly Comparable pension scheme or schemes pursuant to the provisions of Paragraph </w:t>
      </w:r>
      <w:r>
        <w:rPr>
          <w:cs/>
        </w:rPr>
        <w:t>‎</w:t>
      </w:r>
      <w:r>
        <w:t>10.1, the Supplier shall (and shall procure that any of its Sub-contractors shall):</w:t>
      </w:r>
    </w:p>
    <w:p w14:paraId="3E785D40" w14:textId="77777777" w:rsidR="00745227" w:rsidRDefault="00604F6D">
      <w:pPr>
        <w:pStyle w:val="Standard"/>
        <w:numPr>
          <w:ilvl w:val="2"/>
          <w:numId w:val="64"/>
        </w:numPr>
        <w:spacing w:after="240"/>
        <w:ind w:left="1985" w:hanging="851"/>
      </w:pPr>
      <w:r>
        <w:t xml:space="preserve">supply to the Buyer details of its (or its Sub-contractor’s) Broadly Comparable pension scheme and provide a full copy of the valid certificate of broad comparability covering all relevant Fair Deal Employees, as soon as it is able to do so </w:t>
      </w:r>
      <w:proofErr w:type="gramStart"/>
      <w:r>
        <w:t>and in any event</w:t>
      </w:r>
      <w:proofErr w:type="gramEnd"/>
      <w:r>
        <w:t xml:space="preserve"> no later than 28 days before the Relevant Transfer Date;</w:t>
      </w:r>
    </w:p>
    <w:p w14:paraId="2A9E2F87" w14:textId="77777777" w:rsidR="00745227" w:rsidRDefault="00604F6D">
      <w:pPr>
        <w:pStyle w:val="Standard"/>
        <w:numPr>
          <w:ilvl w:val="2"/>
          <w:numId w:val="64"/>
        </w:numPr>
        <w:spacing w:after="240"/>
        <w:ind w:left="1985" w:hanging="851"/>
      </w:pPr>
      <w:r>
        <w:t>fully fund any such Broadly Comparable pension scheme in accordance with the funding requirements set by that Broadly Comparable pension scheme’s Actuary or by the Government Actuary’s Department for the period ending on the Service Transfer Date;</w:t>
      </w:r>
    </w:p>
    <w:p w14:paraId="11920844" w14:textId="77777777" w:rsidR="00745227" w:rsidRDefault="00604F6D">
      <w:pPr>
        <w:pStyle w:val="Standard"/>
        <w:numPr>
          <w:ilvl w:val="2"/>
          <w:numId w:val="64"/>
        </w:numPr>
        <w:spacing w:after="240"/>
        <w:ind w:left="1985" w:hanging="851"/>
      </w:pPr>
      <w:r>
        <w:t xml:space="preserve">instruct any such Broadly Comparable pension scheme’s Actuary to, and to provide all such co-operation and assistance in respect of any such Broadly Comparable pension scheme as the Replacement </w:t>
      </w:r>
      <w:r>
        <w:lastRenderedPageBreak/>
        <w:t>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2A53D15A" w14:textId="77777777" w:rsidR="00745227" w:rsidRDefault="00604F6D">
      <w:pPr>
        <w:pStyle w:val="Standard"/>
        <w:numPr>
          <w:ilvl w:val="2"/>
          <w:numId w:val="64"/>
        </w:numPr>
        <w:spacing w:after="240"/>
        <w:ind w:left="1985" w:hanging="851"/>
      </w:pPr>
      <w: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14:paraId="6C932975" w14:textId="77777777" w:rsidR="00745227" w:rsidRDefault="00604F6D">
      <w:pPr>
        <w:pStyle w:val="Standard"/>
        <w:numPr>
          <w:ilvl w:val="2"/>
          <w:numId w:val="64"/>
        </w:numPr>
        <w:spacing w:after="240"/>
        <w:ind w:left="1985" w:hanging="851"/>
      </w:pPr>
      <w: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("Shortfall"), the Supplier or the Sub-contractor (as agreed between them) must pay the Statutory Scheme, as required, provided that in the absence of any agreement between the Supplier and any Sub-contractor, the Shortfall shall be paid by the Supplier; and</w:t>
      </w:r>
    </w:p>
    <w:p w14:paraId="4E077A2D" w14:textId="6BA60B9F" w:rsidR="00216D74" w:rsidRDefault="00604F6D" w:rsidP="00216D74">
      <w:pPr>
        <w:pStyle w:val="Standard"/>
        <w:numPr>
          <w:ilvl w:val="2"/>
          <w:numId w:val="64"/>
        </w:numPr>
        <w:spacing w:after="240"/>
        <w:ind w:left="1985" w:hanging="851"/>
      </w:pPr>
      <w:r>
        <w:t xml:space="preserve">indemnify CCS and/or the Buyer and/or NHS Pension and/or CSPS and/or the relevant Administering Authority on demand for any failure to pay the Shortfall as required under Paragraph </w:t>
      </w:r>
      <w:r>
        <w:rPr>
          <w:cs/>
        </w:rPr>
        <w:t>‎</w:t>
      </w:r>
      <w:r>
        <w:t>10.2.5 above.</w:t>
      </w:r>
      <w:bookmarkStart w:id="32" w:name="_Toc83731463"/>
    </w:p>
    <w:p w14:paraId="5C18B225" w14:textId="77777777" w:rsidR="00216D74" w:rsidRDefault="00216D74" w:rsidP="00216D74">
      <w:pPr>
        <w:pStyle w:val="Standard"/>
        <w:spacing w:after="240"/>
        <w:ind w:left="1985"/>
      </w:pPr>
    </w:p>
    <w:p w14:paraId="1C044E75" w14:textId="2FF7BC81" w:rsidR="00745227" w:rsidRDefault="00604F6D">
      <w:pPr>
        <w:pStyle w:val="Heading2"/>
      </w:pPr>
      <w:r>
        <w:t>Annex D1: Civil Service Pensions Schemes (CSPS)</w:t>
      </w:r>
      <w:bookmarkEnd w:id="32"/>
    </w:p>
    <w:p w14:paraId="6C42A010" w14:textId="77777777" w:rsidR="00745227" w:rsidRDefault="00604F6D">
      <w:pPr>
        <w:pStyle w:val="Heading3"/>
        <w:numPr>
          <w:ilvl w:val="0"/>
          <w:numId w:val="68"/>
        </w:numPr>
        <w:ind w:left="567" w:hanging="567"/>
      </w:pPr>
      <w:bookmarkStart w:id="33" w:name="_Toc83731464"/>
      <w:r>
        <w:t>Definitions</w:t>
      </w:r>
      <w:bookmarkEnd w:id="33"/>
    </w:p>
    <w:p w14:paraId="5303838B" w14:textId="77777777" w:rsidR="00745227" w:rsidRDefault="00604F6D">
      <w:pPr>
        <w:pStyle w:val="Standard"/>
        <w:numPr>
          <w:ilvl w:val="1"/>
          <w:numId w:val="69"/>
        </w:numPr>
        <w:spacing w:after="240"/>
        <w:ind w:left="1134" w:hanging="567"/>
      </w:pPr>
      <w:r>
        <w:t>In this Annex D1: CSPS to Part D: Pensions, the following words have the following meanings and they shall supplement Joint Schedule 1 (Definitions):</w:t>
      </w:r>
    </w:p>
    <w:tbl>
      <w:tblPr>
        <w:tblW w:w="9378" w:type="dxa"/>
        <w:tblCellMar>
          <w:left w:w="10" w:type="dxa"/>
          <w:right w:w="10" w:type="dxa"/>
        </w:tblCellMar>
        <w:tblLook w:val="0000" w:firstRow="0" w:lastRow="0" w:firstColumn="0" w:lastColumn="0" w:noHBand="0" w:noVBand="0"/>
      </w:tblPr>
      <w:tblGrid>
        <w:gridCol w:w="2835"/>
        <w:gridCol w:w="6543"/>
      </w:tblGrid>
      <w:tr w:rsidR="00745227" w14:paraId="4AF476C5" w14:textId="77777777">
        <w:trPr>
          <w:cantSplit/>
        </w:trPr>
        <w:tc>
          <w:tcPr>
            <w:tcW w:w="2835" w:type="dxa"/>
            <w:shd w:val="clear" w:color="auto" w:fill="auto"/>
            <w:tcMar>
              <w:top w:w="0" w:type="dxa"/>
              <w:left w:w="108" w:type="dxa"/>
              <w:bottom w:w="0" w:type="dxa"/>
              <w:right w:w="108" w:type="dxa"/>
            </w:tcMar>
          </w:tcPr>
          <w:p w14:paraId="48DA3D8B" w14:textId="77777777" w:rsidR="00745227" w:rsidRDefault="00604F6D">
            <w:pPr>
              <w:spacing w:before="120" w:after="120"/>
              <w:rPr>
                <w:rFonts w:eastAsia="STZhongsong"/>
                <w:b/>
                <w:bCs/>
                <w:color w:val="000000"/>
                <w:szCs w:val="24"/>
              </w:rPr>
            </w:pPr>
            <w:r>
              <w:rPr>
                <w:rFonts w:eastAsia="STZhongsong"/>
                <w:b/>
                <w:bCs/>
                <w:color w:val="000000"/>
                <w:szCs w:val="24"/>
              </w:rPr>
              <w:t>"CSPS Admission Agreement"</w:t>
            </w:r>
          </w:p>
        </w:tc>
        <w:tc>
          <w:tcPr>
            <w:tcW w:w="6543" w:type="dxa"/>
            <w:shd w:val="clear" w:color="auto" w:fill="auto"/>
            <w:tcMar>
              <w:top w:w="0" w:type="dxa"/>
              <w:left w:w="108" w:type="dxa"/>
              <w:bottom w:w="0" w:type="dxa"/>
              <w:right w:w="108" w:type="dxa"/>
            </w:tcMar>
          </w:tcPr>
          <w:p w14:paraId="7777D35C"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an admission agreement in the form available on the Civil Service Pensions website immediately prior to the Relevant Transfer Date to be entered into for the CSPS in respect of the Services;</w:t>
            </w:r>
          </w:p>
        </w:tc>
      </w:tr>
      <w:tr w:rsidR="00745227" w14:paraId="1588893F" w14:textId="77777777">
        <w:trPr>
          <w:cantSplit/>
        </w:trPr>
        <w:tc>
          <w:tcPr>
            <w:tcW w:w="2835" w:type="dxa"/>
            <w:shd w:val="clear" w:color="auto" w:fill="auto"/>
            <w:tcMar>
              <w:top w:w="0" w:type="dxa"/>
              <w:left w:w="108" w:type="dxa"/>
              <w:bottom w:w="0" w:type="dxa"/>
              <w:right w:w="108" w:type="dxa"/>
            </w:tcMar>
          </w:tcPr>
          <w:p w14:paraId="1F7D3145" w14:textId="77777777" w:rsidR="00745227" w:rsidRDefault="00604F6D">
            <w:pPr>
              <w:spacing w:before="120" w:after="120"/>
              <w:rPr>
                <w:rFonts w:eastAsia="STZhongsong"/>
                <w:b/>
                <w:bCs/>
                <w:color w:val="000000"/>
                <w:szCs w:val="24"/>
              </w:rPr>
            </w:pPr>
            <w:r>
              <w:rPr>
                <w:rFonts w:eastAsia="STZhongsong"/>
                <w:b/>
                <w:bCs/>
                <w:color w:val="000000"/>
                <w:szCs w:val="24"/>
              </w:rPr>
              <w:t>"CSPS Eligible Employee"</w:t>
            </w:r>
          </w:p>
        </w:tc>
        <w:tc>
          <w:tcPr>
            <w:tcW w:w="6543" w:type="dxa"/>
            <w:shd w:val="clear" w:color="auto" w:fill="auto"/>
            <w:tcMar>
              <w:top w:w="0" w:type="dxa"/>
              <w:left w:w="108" w:type="dxa"/>
              <w:bottom w:w="0" w:type="dxa"/>
              <w:right w:w="108" w:type="dxa"/>
            </w:tcMar>
          </w:tcPr>
          <w:p w14:paraId="20D7E568"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any Fair Deal Employee who at the relevant time is an eligible employee as defined in the CSPS Admission Agreement;</w:t>
            </w:r>
          </w:p>
        </w:tc>
      </w:tr>
      <w:tr w:rsidR="00745227" w14:paraId="515FD771" w14:textId="77777777">
        <w:trPr>
          <w:cantSplit/>
        </w:trPr>
        <w:tc>
          <w:tcPr>
            <w:tcW w:w="2835" w:type="dxa"/>
            <w:shd w:val="clear" w:color="auto" w:fill="auto"/>
            <w:tcMar>
              <w:top w:w="0" w:type="dxa"/>
              <w:left w:w="108" w:type="dxa"/>
              <w:bottom w:w="0" w:type="dxa"/>
              <w:right w:w="108" w:type="dxa"/>
            </w:tcMar>
          </w:tcPr>
          <w:p w14:paraId="3205EDC9" w14:textId="77777777" w:rsidR="00745227" w:rsidRDefault="00604F6D">
            <w:pPr>
              <w:spacing w:before="100" w:after="120"/>
            </w:pPr>
            <w:r>
              <w:rPr>
                <w:b/>
                <w:bCs/>
                <w:color w:val="000000"/>
                <w:szCs w:val="24"/>
              </w:rPr>
              <w:lastRenderedPageBreak/>
              <w:t>"CSPS"</w:t>
            </w:r>
          </w:p>
        </w:tc>
        <w:tc>
          <w:tcPr>
            <w:tcW w:w="6543" w:type="dxa"/>
            <w:shd w:val="clear" w:color="auto" w:fill="auto"/>
            <w:tcMar>
              <w:top w:w="0" w:type="dxa"/>
              <w:left w:w="108" w:type="dxa"/>
              <w:bottom w:w="0" w:type="dxa"/>
              <w:right w:w="108" w:type="dxa"/>
            </w:tcMar>
          </w:tcPr>
          <w:p w14:paraId="287FFED4" w14:textId="77777777" w:rsidR="00745227" w:rsidRDefault="00604F6D">
            <w:pPr>
              <w:spacing w:before="100" w:after="120"/>
            </w:pPr>
            <w:r>
              <w:rPr>
                <w:color w:val="222222"/>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color w:val="222222"/>
                <w:szCs w:val="24"/>
                <w:shd w:val="clear" w:color="auto" w:fill="FFFFFF"/>
              </w:rPr>
              <w:t>i</w:t>
            </w:r>
            <w:proofErr w:type="spellEnd"/>
            <w:r>
              <w:rPr>
                <w:color w:val="222222"/>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64D8EE61" w14:textId="77777777" w:rsidR="00745227" w:rsidRDefault="00745227">
      <w:pPr>
        <w:pStyle w:val="Standard"/>
        <w:spacing w:after="240"/>
      </w:pPr>
    </w:p>
    <w:p w14:paraId="713DE164" w14:textId="77777777" w:rsidR="00745227" w:rsidRDefault="00604F6D">
      <w:pPr>
        <w:pStyle w:val="Heading3"/>
        <w:numPr>
          <w:ilvl w:val="0"/>
          <w:numId w:val="69"/>
        </w:numPr>
        <w:ind w:left="567" w:hanging="567"/>
      </w:pPr>
      <w:bookmarkStart w:id="34" w:name="_Toc83731465"/>
      <w:r>
        <w:t>Access to equivalent pension schemes after transfer</w:t>
      </w:r>
      <w:bookmarkEnd w:id="34"/>
    </w:p>
    <w:p w14:paraId="6DFCB794" w14:textId="77777777" w:rsidR="00745227" w:rsidRDefault="00604F6D">
      <w:pPr>
        <w:pStyle w:val="Standard"/>
        <w:numPr>
          <w:ilvl w:val="1"/>
          <w:numId w:val="69"/>
        </w:numPr>
        <w:spacing w:after="240"/>
        <w:ind w:left="1134" w:hanging="567"/>
      </w:pPr>
      <w: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131BAB85" w14:textId="77777777" w:rsidR="00745227" w:rsidRDefault="00604F6D">
      <w:pPr>
        <w:pStyle w:val="Standard"/>
        <w:numPr>
          <w:ilvl w:val="1"/>
          <w:numId w:val="69"/>
        </w:numPr>
        <w:spacing w:after="240"/>
        <w:ind w:left="1134" w:hanging="567"/>
      </w:pPr>
      <w: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 </w:t>
      </w:r>
    </w:p>
    <w:p w14:paraId="2297ADEA" w14:textId="77777777" w:rsidR="00216D74" w:rsidRDefault="00216D74">
      <w:pPr>
        <w:pStyle w:val="Heading2"/>
      </w:pPr>
      <w:bookmarkStart w:id="35" w:name="_Toc83731466"/>
    </w:p>
    <w:p w14:paraId="50B03FBF" w14:textId="7E47C684" w:rsidR="00745227" w:rsidRDefault="00604F6D">
      <w:pPr>
        <w:pStyle w:val="Heading2"/>
      </w:pPr>
      <w:r>
        <w:t>Annex D2: NHS Pension Schemes</w:t>
      </w:r>
      <w:bookmarkEnd w:id="35"/>
    </w:p>
    <w:p w14:paraId="148A593B" w14:textId="77777777" w:rsidR="00745227" w:rsidRDefault="00604F6D">
      <w:pPr>
        <w:pStyle w:val="Heading3"/>
        <w:numPr>
          <w:ilvl w:val="0"/>
          <w:numId w:val="70"/>
        </w:numPr>
        <w:ind w:left="567" w:hanging="567"/>
      </w:pPr>
      <w:bookmarkStart w:id="36" w:name="_Toc83731467"/>
      <w:r>
        <w:t>Definitions</w:t>
      </w:r>
      <w:bookmarkEnd w:id="36"/>
    </w:p>
    <w:p w14:paraId="1A8DF3EB" w14:textId="77777777" w:rsidR="00745227" w:rsidRDefault="00604F6D">
      <w:pPr>
        <w:pStyle w:val="Standard"/>
        <w:numPr>
          <w:ilvl w:val="1"/>
          <w:numId w:val="71"/>
        </w:numPr>
        <w:spacing w:after="240"/>
        <w:ind w:left="1134" w:hanging="567"/>
      </w:pPr>
      <w:r>
        <w:t>In this Annex D2: NHSPS to Part D: Pensions, the following words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059"/>
        <w:gridCol w:w="5957"/>
      </w:tblGrid>
      <w:tr w:rsidR="00745227" w14:paraId="1B83494B"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33CC9" w14:textId="77777777" w:rsidR="00745227" w:rsidRDefault="00604F6D">
            <w:pPr>
              <w:spacing w:before="120" w:after="120"/>
              <w:rPr>
                <w:b/>
                <w:szCs w:val="24"/>
              </w:rPr>
            </w:pPr>
            <w:r>
              <w:rPr>
                <w:b/>
                <w:szCs w:val="24"/>
              </w:rPr>
              <w:t>"Direction Letter"</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FD0A0"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745227" w14:paraId="5044210B"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F7A72" w14:textId="77777777" w:rsidR="00745227" w:rsidRDefault="00604F6D">
            <w:pPr>
              <w:spacing w:before="120" w:after="120"/>
              <w:rPr>
                <w:b/>
                <w:szCs w:val="24"/>
              </w:rPr>
            </w:pPr>
            <w:r>
              <w:rPr>
                <w:b/>
                <w:szCs w:val="24"/>
              </w:rPr>
              <w:lastRenderedPageBreak/>
              <w:t>"NHSPS Eligible Employees"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923BA"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684C9F3D" w14:textId="77777777" w:rsidR="00745227" w:rsidRDefault="00604F6D">
            <w:pPr>
              <w:pStyle w:val="ListParagraph"/>
              <w:numPr>
                <w:ilvl w:val="1"/>
                <w:numId w:val="70"/>
              </w:numPr>
              <w:spacing w:before="120" w:after="120"/>
              <w:ind w:left="518" w:hanging="502"/>
            </w:pPr>
            <w:r>
              <w:rPr>
                <w:rFonts w:eastAsia="STZhongsong"/>
                <w:bCs/>
                <w:color w:val="000000"/>
                <w:szCs w:val="24"/>
              </w:rPr>
              <w:t xml:space="preserve">their employment with the </w:t>
            </w:r>
            <w:r>
              <w:rPr>
                <w:rFonts w:eastAsia="STZhongsong"/>
                <w:color w:val="000000"/>
                <w:szCs w:val="24"/>
              </w:rPr>
              <w:t>Buyer</w:t>
            </w:r>
            <w:r>
              <w:rPr>
                <w:rFonts w:eastAsia="STZhongsong"/>
                <w:i/>
                <w:color w:val="000000"/>
                <w:szCs w:val="24"/>
              </w:rPr>
              <w:t>,</w:t>
            </w:r>
            <w:r>
              <w:rPr>
                <w:rFonts w:eastAsia="STZhongsong"/>
                <w:bCs/>
                <w:color w:val="000000"/>
                <w:szCs w:val="24"/>
              </w:rPr>
              <w:t xml:space="preserve"> an NHS Body or other employer which participates automatically in the NHSPS; or</w:t>
            </w:r>
          </w:p>
          <w:p w14:paraId="5E85CCFC" w14:textId="77777777" w:rsidR="00745227" w:rsidRDefault="00604F6D">
            <w:pPr>
              <w:pStyle w:val="ListParagraph"/>
              <w:numPr>
                <w:ilvl w:val="1"/>
                <w:numId w:val="70"/>
              </w:numPr>
              <w:spacing w:before="120" w:after="120"/>
              <w:ind w:left="518" w:hanging="502"/>
            </w:pPr>
            <w:r>
              <w:rPr>
                <w:rFonts w:eastAsia="STZhongsong"/>
                <w:bCs/>
                <w:color w:val="000000"/>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szCs w:val="24"/>
              </w:rPr>
              <w:t>entitled</w:t>
            </w:r>
            <w:r>
              <w:rPr>
                <w:rFonts w:eastAsia="STZhongsong"/>
                <w:bCs/>
                <w:color w:val="000000"/>
                <w:szCs w:val="24"/>
              </w:rPr>
              <w:t xml:space="preserve"> to protection under New Fair Deal and were permitted to re-join the NHSPS, having been formerly in employment with the </w:t>
            </w:r>
            <w:r>
              <w:rPr>
                <w:rFonts w:eastAsia="STZhongsong"/>
                <w:color w:val="000000"/>
                <w:szCs w:val="24"/>
              </w:rPr>
              <w:t>Buyer</w:t>
            </w:r>
            <w:r>
              <w:rPr>
                <w:rFonts w:eastAsia="STZhongsong"/>
                <w:bCs/>
                <w:color w:val="000000"/>
                <w:szCs w:val="24"/>
              </w:rPr>
              <w:t>, an NHS Body or other employer who participated automatically in the NHSPS in connection with the Services, prior to being employed by the Former Supplier),</w:t>
            </w:r>
          </w:p>
          <w:p w14:paraId="4E15D9FB" w14:textId="77777777" w:rsidR="00745227" w:rsidRDefault="00604F6D">
            <w:pPr>
              <w:spacing w:before="120" w:after="120"/>
              <w:ind w:left="16"/>
              <w:rPr>
                <w:rFonts w:eastAsia="STZhongsong"/>
                <w:bCs/>
                <w:color w:val="000000"/>
                <w:szCs w:val="24"/>
              </w:rPr>
            </w:pPr>
            <w:r>
              <w:rPr>
                <w:rFonts w:eastAsia="STZhongsong"/>
                <w:bCs/>
                <w:color w:val="000000"/>
                <w:szCs w:val="24"/>
              </w:rPr>
              <w:t>and, in each case, being continuously engaged for more than fifty per cent (50%) of their employed time in the delivery of services (the same as or similar to the Services).</w:t>
            </w:r>
          </w:p>
          <w:p w14:paraId="37584461" w14:textId="77777777" w:rsidR="00745227" w:rsidRDefault="00604F6D">
            <w:pPr>
              <w:spacing w:before="120" w:after="120"/>
              <w:ind w:left="16"/>
            </w:pPr>
            <w:r>
              <w:rPr>
                <w:rFonts w:eastAsia="STZhongsong"/>
                <w:bCs/>
                <w:color w:val="000000"/>
                <w:szCs w:val="24"/>
              </w:rPr>
              <w:t>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w:t>
            </w:r>
          </w:p>
        </w:tc>
      </w:tr>
      <w:tr w:rsidR="00745227" w14:paraId="45AAF9F5"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7ABC" w14:textId="77777777" w:rsidR="00745227" w:rsidRDefault="00604F6D">
            <w:pPr>
              <w:spacing w:before="120" w:after="120"/>
              <w:rPr>
                <w:b/>
                <w:szCs w:val="24"/>
              </w:rPr>
            </w:pPr>
            <w:r>
              <w:rPr>
                <w:b/>
                <w:szCs w:val="24"/>
              </w:rPr>
              <w:t>"NHS Body"</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5730A"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has the meaning given to it in section 275 of the National Health Service Act 2006 as amended by section 138(2)(c) of Schedule 4 to the Health and Social Care Act 2012;</w:t>
            </w:r>
          </w:p>
        </w:tc>
      </w:tr>
      <w:tr w:rsidR="00745227" w14:paraId="34655DBE"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4161A" w14:textId="77777777" w:rsidR="00745227" w:rsidRDefault="00604F6D">
            <w:pPr>
              <w:spacing w:before="120" w:after="120"/>
              <w:rPr>
                <w:b/>
                <w:szCs w:val="24"/>
              </w:rPr>
            </w:pPr>
            <w:r>
              <w:rPr>
                <w:b/>
                <w:szCs w:val="24"/>
              </w:rPr>
              <w:t>"NHS Pensions"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0C515"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NHS Pensions as the administrators of the NHSPS or such other body as may from time to time be responsible for relevant administrative functions of the NHSPS;</w:t>
            </w:r>
          </w:p>
        </w:tc>
      </w:tr>
      <w:tr w:rsidR="00745227" w14:paraId="2F1EB4AC"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A14D2" w14:textId="77777777" w:rsidR="00745227" w:rsidRDefault="00604F6D">
            <w:pPr>
              <w:spacing w:before="120" w:after="120"/>
              <w:rPr>
                <w:b/>
                <w:szCs w:val="24"/>
              </w:rPr>
            </w:pPr>
            <w:r>
              <w:rPr>
                <w:b/>
                <w:szCs w:val="24"/>
              </w:rPr>
              <w:t>"NHSPS"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D8B1C"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the National Health Service Pension Scheme for England and Wales, established pursuant to the Superannuation Act 1972 and governed by subsequent regulations under that Act including the NHS Pension Scheme Regulations;</w:t>
            </w:r>
          </w:p>
        </w:tc>
      </w:tr>
      <w:tr w:rsidR="00745227" w14:paraId="6DDDE549"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5FBEE" w14:textId="77777777" w:rsidR="00745227" w:rsidRDefault="00604F6D">
            <w:pPr>
              <w:spacing w:before="120" w:after="120"/>
              <w:rPr>
                <w:b/>
                <w:szCs w:val="24"/>
              </w:rPr>
            </w:pPr>
            <w:r>
              <w:rPr>
                <w:b/>
                <w:szCs w:val="24"/>
              </w:rPr>
              <w:lastRenderedPageBreak/>
              <w:t>"NHS Pension Scheme Arrears"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EC44F"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745227" w14:paraId="4CC7A466"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21282" w14:textId="77777777" w:rsidR="00745227" w:rsidRDefault="00604F6D">
            <w:pPr>
              <w:spacing w:before="120" w:after="120"/>
              <w:rPr>
                <w:b/>
                <w:szCs w:val="24"/>
              </w:rPr>
            </w:pPr>
            <w:r>
              <w:rPr>
                <w:b/>
                <w:szCs w:val="24"/>
              </w:rPr>
              <w:t>"NHS Pension Scheme Regulations"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D0221"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745227" w14:paraId="2442B55D"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AB300" w14:textId="77777777" w:rsidR="00745227" w:rsidRDefault="00604F6D">
            <w:pPr>
              <w:spacing w:before="120" w:after="120"/>
              <w:rPr>
                <w:b/>
                <w:szCs w:val="24"/>
              </w:rPr>
            </w:pPr>
            <w:r>
              <w:rPr>
                <w:b/>
                <w:szCs w:val="24"/>
              </w:rPr>
              <w:t>"NHS Premature Retirement Rights"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1C797" w14:textId="77777777" w:rsidR="00745227" w:rsidRDefault="00604F6D">
            <w:pPr>
              <w:tabs>
                <w:tab w:val="left" w:pos="235"/>
              </w:tabs>
              <w:spacing w:before="120" w:after="120"/>
            </w:pPr>
            <w:r>
              <w:rPr>
                <w:rFonts w:eastAsia="STZhongsong"/>
                <w:bCs/>
                <w:color w:val="000000"/>
                <w:szCs w:val="24"/>
              </w:rPr>
              <w:t xml:space="preserve">rights to which any Fair Deal Employee (had they remained in the employment of the </w:t>
            </w:r>
            <w:r>
              <w:rPr>
                <w:rFonts w:eastAsia="STZhongsong"/>
                <w:color w:val="000000"/>
                <w:szCs w:val="24"/>
              </w:rPr>
              <w:t>Buyer</w:t>
            </w:r>
            <w:r>
              <w:rPr>
                <w:rFonts w:eastAsia="STZhongsong"/>
                <w:bCs/>
                <w:color w:val="000000"/>
                <w:szCs w:val="24"/>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745227" w14:paraId="30A7DBE0"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46B88" w14:textId="77777777" w:rsidR="00745227" w:rsidRDefault="00604F6D">
            <w:pPr>
              <w:spacing w:before="120" w:after="120"/>
              <w:rPr>
                <w:b/>
                <w:szCs w:val="24"/>
              </w:rPr>
            </w:pPr>
            <w:r>
              <w:rPr>
                <w:b/>
                <w:szCs w:val="24"/>
              </w:rPr>
              <w:t>"Pension Benefits"</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E0378" w14:textId="77777777" w:rsidR="00745227" w:rsidRDefault="00604F6D">
            <w:pPr>
              <w:tabs>
                <w:tab w:val="left" w:pos="235"/>
              </w:tabs>
              <w:spacing w:before="120" w:after="120"/>
              <w:rPr>
                <w:rFonts w:eastAsia="STZhongsong"/>
                <w:bCs/>
                <w:color w:val="000000"/>
                <w:szCs w:val="24"/>
              </w:rPr>
            </w:pPr>
            <w:r>
              <w:rPr>
                <w:rFonts w:eastAsia="STZhongsong"/>
                <w:bCs/>
                <w:color w:val="000000"/>
                <w:szCs w:val="24"/>
              </w:rPr>
              <w:t>any benefits payable in respect of an individual (including but not limited to pensions related allowances and lump sums) relating to old age, invalidity or survivor’s benefits provided under an occupational pension scheme; and</w:t>
            </w:r>
          </w:p>
        </w:tc>
      </w:tr>
      <w:tr w:rsidR="00745227" w14:paraId="34C754F5" w14:textId="77777777">
        <w:trPr>
          <w:cantSplit/>
        </w:trPr>
        <w:tc>
          <w:tcPr>
            <w:tcW w:w="30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AEC94" w14:textId="77777777" w:rsidR="00745227" w:rsidRDefault="00604F6D">
            <w:pPr>
              <w:spacing w:before="120" w:after="120"/>
              <w:rPr>
                <w:b/>
                <w:szCs w:val="24"/>
              </w:rPr>
            </w:pPr>
            <w:r>
              <w:rPr>
                <w:b/>
                <w:szCs w:val="24"/>
              </w:rPr>
              <w:t>"Retirement Benefits Scheme"</w:t>
            </w:r>
          </w:p>
        </w:tc>
        <w:tc>
          <w:tcPr>
            <w:tcW w:w="5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2B930" w14:textId="77777777" w:rsidR="00745227" w:rsidRDefault="00604F6D">
            <w:pPr>
              <w:tabs>
                <w:tab w:val="left" w:pos="235"/>
              </w:tabs>
              <w:spacing w:before="120" w:after="120"/>
            </w:pPr>
            <w:r>
              <w:rPr>
                <w:bCs/>
                <w:color w:val="000000"/>
                <w:szCs w:val="24"/>
              </w:rPr>
              <w:t xml:space="preserve">a pension scheme registered under Chapter 2 of Part 4 of the Finance </w:t>
            </w:r>
            <w:r>
              <w:rPr>
                <w:rFonts w:eastAsia="STZhongsong"/>
                <w:bCs/>
                <w:color w:val="000000"/>
                <w:szCs w:val="24"/>
              </w:rPr>
              <w:t>Act</w:t>
            </w:r>
            <w:r>
              <w:rPr>
                <w:bCs/>
                <w:color w:val="000000"/>
                <w:szCs w:val="24"/>
              </w:rPr>
              <w:t> 2004.</w:t>
            </w:r>
          </w:p>
        </w:tc>
      </w:tr>
    </w:tbl>
    <w:p w14:paraId="5E1311C5" w14:textId="77777777" w:rsidR="00745227" w:rsidRDefault="00745227">
      <w:pPr>
        <w:pStyle w:val="Standard"/>
        <w:spacing w:after="240"/>
      </w:pPr>
    </w:p>
    <w:p w14:paraId="1C9D9972" w14:textId="77777777" w:rsidR="00745227" w:rsidRDefault="00604F6D">
      <w:pPr>
        <w:pStyle w:val="Heading3"/>
        <w:numPr>
          <w:ilvl w:val="0"/>
          <w:numId w:val="70"/>
        </w:numPr>
        <w:ind w:left="567" w:hanging="567"/>
      </w:pPr>
      <w:bookmarkStart w:id="37" w:name="_Toc83731468"/>
      <w:r>
        <w:t>Membership of the NHS Pension Scheme</w:t>
      </w:r>
      <w:bookmarkEnd w:id="37"/>
    </w:p>
    <w:p w14:paraId="65146CF3" w14:textId="77777777" w:rsidR="00745227" w:rsidRDefault="00604F6D">
      <w:pPr>
        <w:pStyle w:val="ListParagraph"/>
        <w:numPr>
          <w:ilvl w:val="1"/>
          <w:numId w:val="70"/>
        </w:numPr>
        <w:spacing w:after="240"/>
        <w:ind w:left="1134" w:hanging="567"/>
      </w:pPr>
      <w:r>
        <w:t>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14:paraId="5BA48B81" w14:textId="77777777" w:rsidR="00745227" w:rsidRDefault="00604F6D">
      <w:pPr>
        <w:pStyle w:val="ListParagraph"/>
        <w:numPr>
          <w:ilvl w:val="1"/>
          <w:numId w:val="70"/>
        </w:numPr>
        <w:spacing w:after="240"/>
        <w:ind w:left="1134" w:hanging="567"/>
      </w:pPr>
      <w:r>
        <w:t>The Supplier must supply to the Buyer by or as soon as reasonably practicable after the Relevant Transfer Date a complete copy of each Direction Letter.</w:t>
      </w:r>
    </w:p>
    <w:p w14:paraId="5288BCE9" w14:textId="77777777" w:rsidR="00745227" w:rsidRDefault="00604F6D">
      <w:pPr>
        <w:pStyle w:val="ListParagraph"/>
        <w:numPr>
          <w:ilvl w:val="1"/>
          <w:numId w:val="70"/>
        </w:numPr>
        <w:spacing w:after="240"/>
        <w:ind w:left="1134" w:hanging="567"/>
      </w:pPr>
      <w:r>
        <w:t xml:space="preserve">The Supplier must ensure (and procure that each of its Sub-Contracts (if any) ensures) that all of its NHSPS Eligible Employees have a contractual right to </w:t>
      </w:r>
      <w:r>
        <w:lastRenderedPageBreak/>
        <w:t>continuous active membership of or eligibility for the NHSPS for so long as they have a right to membership or eligibility of that scheme under the terms of the Direction Letter.</w:t>
      </w:r>
    </w:p>
    <w:p w14:paraId="62C429CF" w14:textId="77777777" w:rsidR="00745227" w:rsidRDefault="00604F6D">
      <w:pPr>
        <w:pStyle w:val="ListParagraph"/>
        <w:numPr>
          <w:ilvl w:val="1"/>
          <w:numId w:val="70"/>
        </w:numPr>
        <w:spacing w:after="240"/>
        <w:ind w:left="1134" w:hanging="567"/>
      </w:pPr>
      <w: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14:paraId="1A84CB02" w14:textId="77777777" w:rsidR="00745227" w:rsidRDefault="00604F6D">
      <w:pPr>
        <w:pStyle w:val="ListParagraph"/>
        <w:numPr>
          <w:ilvl w:val="1"/>
          <w:numId w:val="70"/>
        </w:numPr>
        <w:spacing w:after="240"/>
        <w:ind w:left="1134" w:hanging="567"/>
      </w:pPr>
      <w: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14:paraId="736CD946" w14:textId="77777777" w:rsidR="00745227" w:rsidRDefault="00604F6D">
      <w:pPr>
        <w:pStyle w:val="ListParagraph"/>
        <w:numPr>
          <w:ilvl w:val="1"/>
          <w:numId w:val="70"/>
        </w:numPr>
        <w:spacing w:after="240"/>
        <w:ind w:left="1134" w:hanging="567"/>
      </w:pPr>
      <w:r>
        <w:t>The Supplier will (and will procure that its Sub-contractors (if any) will) as soon as reasonably practicable and at its (or its Sub-contractor’s) cost, obtain any guarantee, bond or indemnity that may from time to time be required by the Secretary of State for Health.</w:t>
      </w:r>
    </w:p>
    <w:p w14:paraId="31D8528F" w14:textId="77777777" w:rsidR="00745227" w:rsidRDefault="00604F6D">
      <w:pPr>
        <w:pStyle w:val="Heading3"/>
        <w:numPr>
          <w:ilvl w:val="0"/>
          <w:numId w:val="70"/>
        </w:numPr>
        <w:ind w:left="567" w:hanging="567"/>
      </w:pPr>
      <w:bookmarkStart w:id="38" w:name="_Toc83731469"/>
      <w:r>
        <w:t>Access to NHS Pension Schemes after transfer</w:t>
      </w:r>
      <w:bookmarkEnd w:id="38"/>
    </w:p>
    <w:p w14:paraId="52E402CD" w14:textId="77777777" w:rsidR="00745227" w:rsidRDefault="00604F6D">
      <w:pPr>
        <w:pStyle w:val="Standard"/>
        <w:numPr>
          <w:ilvl w:val="1"/>
          <w:numId w:val="70"/>
        </w:numPr>
        <w:spacing w:after="240"/>
        <w:ind w:left="1134" w:hanging="567"/>
      </w:pPr>
      <w: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04C5DEC" w14:textId="77777777" w:rsidR="00745227" w:rsidRDefault="00604F6D">
      <w:pPr>
        <w:pStyle w:val="Heading3"/>
        <w:numPr>
          <w:ilvl w:val="0"/>
          <w:numId w:val="70"/>
        </w:numPr>
        <w:ind w:left="567" w:hanging="567"/>
      </w:pPr>
      <w:bookmarkStart w:id="39" w:name="_Toc83731470"/>
      <w:r>
        <w:t>Continuation of early retirement rights after transfer</w:t>
      </w:r>
      <w:bookmarkEnd w:id="39"/>
    </w:p>
    <w:p w14:paraId="5CBBEC57" w14:textId="77777777" w:rsidR="00745227" w:rsidRDefault="00604F6D">
      <w:pPr>
        <w:pStyle w:val="Standard"/>
        <w:numPr>
          <w:ilvl w:val="1"/>
          <w:numId w:val="70"/>
        </w:numPr>
        <w:spacing w:after="240"/>
        <w:ind w:left="1134" w:hanging="567"/>
      </w:pPr>
      <w: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14:paraId="3066BBFE" w14:textId="77777777" w:rsidR="00745227" w:rsidRDefault="00604F6D">
      <w:pPr>
        <w:pStyle w:val="Heading3"/>
        <w:numPr>
          <w:ilvl w:val="0"/>
          <w:numId w:val="70"/>
        </w:numPr>
        <w:ind w:left="567" w:hanging="567"/>
      </w:pPr>
      <w:bookmarkStart w:id="40" w:name="_Toc83731471"/>
      <w:r>
        <w:t>What the buyer will do if the Supplier breaches its pension obligations</w:t>
      </w:r>
      <w:bookmarkEnd w:id="40"/>
    </w:p>
    <w:p w14:paraId="7046D8CF" w14:textId="77777777" w:rsidR="00745227" w:rsidRDefault="00604F6D">
      <w:pPr>
        <w:pStyle w:val="Standard"/>
        <w:numPr>
          <w:ilvl w:val="1"/>
          <w:numId w:val="70"/>
        </w:numPr>
        <w:spacing w:after="240"/>
        <w:ind w:left="1134" w:hanging="567"/>
      </w:pPr>
      <w:r>
        <w:t xml:space="preserve">The Supplier agrees that the Buyer is entitled to </w:t>
      </w:r>
      <w:proofErr w:type="gramStart"/>
      <w:r>
        <w:t>make arrangements</w:t>
      </w:r>
      <w:proofErr w:type="gramEnd"/>
      <w:r>
        <w:t xml:space="preserve">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14:paraId="68F87FB9" w14:textId="77777777" w:rsidR="00745227" w:rsidRDefault="00604F6D">
      <w:pPr>
        <w:pStyle w:val="Standard"/>
        <w:numPr>
          <w:ilvl w:val="1"/>
          <w:numId w:val="70"/>
        </w:numPr>
        <w:spacing w:after="240"/>
        <w:ind w:left="1134" w:hanging="567"/>
      </w:pPr>
      <w:r>
        <w:t>If the Buyer is entitled to terminate the Contract or the Supplier (or its Sub-contractor, if relevant) ceases to participate in the NHSPS for whatever other reason, the Buyer 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14:paraId="2048C63C" w14:textId="77777777" w:rsidR="00745227" w:rsidRDefault="00604F6D">
      <w:pPr>
        <w:pStyle w:val="Standard"/>
        <w:numPr>
          <w:ilvl w:val="1"/>
          <w:numId w:val="70"/>
        </w:numPr>
        <w:spacing w:after="240"/>
        <w:ind w:left="1134" w:hanging="567"/>
      </w:pPr>
      <w:r>
        <w:lastRenderedPageBreak/>
        <w:t>In addition to the Buyer's right to terminate the Contract, if the Buyer is notified by NHS Pensions of any NHS Pension Scheme Arrears, the Buyer will be entitled to deduct all or part of those arrears from any amount due to be paid under this Contract or otherwise.</w:t>
      </w:r>
    </w:p>
    <w:p w14:paraId="22E9A019" w14:textId="77777777" w:rsidR="00745227" w:rsidRDefault="00604F6D">
      <w:pPr>
        <w:pStyle w:val="Heading3"/>
        <w:numPr>
          <w:ilvl w:val="0"/>
          <w:numId w:val="70"/>
        </w:numPr>
        <w:ind w:left="567" w:hanging="567"/>
      </w:pPr>
      <w:bookmarkStart w:id="41" w:name="_Toc83731472"/>
      <w:r>
        <w:t>Compensation when pension scheme access can’t be provided</w:t>
      </w:r>
      <w:bookmarkEnd w:id="41"/>
    </w:p>
    <w:p w14:paraId="77AFB0AD" w14:textId="77777777" w:rsidR="00745227" w:rsidRDefault="00604F6D">
      <w:pPr>
        <w:pStyle w:val="Standard"/>
        <w:numPr>
          <w:ilvl w:val="1"/>
          <w:numId w:val="70"/>
        </w:numPr>
        <w:spacing w:after="240"/>
        <w:ind w:left="1134" w:hanging="567"/>
      </w:pPr>
      <w:r>
        <w:t xml:space="preserve">If the Supplier (or its Sub-contractor, if relevant) is unable to provide the NHSPS Eligible Employees with either: </w:t>
      </w:r>
    </w:p>
    <w:p w14:paraId="2A19D5A2" w14:textId="77777777" w:rsidR="00745227" w:rsidRDefault="00604F6D">
      <w:pPr>
        <w:pStyle w:val="Standard"/>
        <w:numPr>
          <w:ilvl w:val="2"/>
          <w:numId w:val="70"/>
        </w:numPr>
        <w:spacing w:after="240"/>
        <w:ind w:left="1985" w:hanging="851"/>
      </w:pPr>
      <w:r>
        <w:t xml:space="preserve">membership of the NHSPS (having used its best endeavours to secure a Direction Letter); or </w:t>
      </w:r>
    </w:p>
    <w:p w14:paraId="3C257A33" w14:textId="77777777" w:rsidR="00745227" w:rsidRDefault="00604F6D">
      <w:pPr>
        <w:pStyle w:val="Standard"/>
        <w:numPr>
          <w:ilvl w:val="2"/>
          <w:numId w:val="70"/>
        </w:numPr>
        <w:spacing w:after="240"/>
        <w:ind w:left="1985" w:hanging="851"/>
      </w:pPr>
      <w:r>
        <w:t xml:space="preserve">access to a Broadly Comparable pension scheme, </w:t>
      </w:r>
    </w:p>
    <w:p w14:paraId="04CDC1E9" w14:textId="77777777" w:rsidR="00745227" w:rsidRDefault="00604F6D">
      <w:pPr>
        <w:pStyle w:val="Standard"/>
        <w:spacing w:after="240"/>
        <w:ind w:left="1134"/>
      </w:pPr>
      <w:r>
        <w:t>the Buyer 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 determining whether the level of compensation offered is reasonable in the circumstances.</w:t>
      </w:r>
    </w:p>
    <w:p w14:paraId="6494B0C7" w14:textId="77777777" w:rsidR="00745227" w:rsidRDefault="00604F6D">
      <w:pPr>
        <w:pStyle w:val="Standard"/>
        <w:numPr>
          <w:ilvl w:val="1"/>
          <w:numId w:val="70"/>
        </w:numPr>
        <w:spacing w:after="240"/>
        <w:ind w:left="1134" w:hanging="567"/>
      </w:pPr>
      <w:r>
        <w:t>This flexibility for the Buyer to allow compensation in place of Pension Benefits is in addition to and not instead of the Buyer’s right to terminate the Contract.</w:t>
      </w:r>
    </w:p>
    <w:p w14:paraId="374EB7C8" w14:textId="77777777" w:rsidR="00745227" w:rsidRDefault="00604F6D">
      <w:pPr>
        <w:pStyle w:val="Heading3"/>
        <w:numPr>
          <w:ilvl w:val="0"/>
          <w:numId w:val="70"/>
        </w:numPr>
        <w:ind w:left="567" w:hanging="567"/>
      </w:pPr>
      <w:bookmarkStart w:id="42" w:name="_Toc83731473"/>
      <w:r>
        <w:t>Indemnities that a Supplier must give</w:t>
      </w:r>
      <w:bookmarkEnd w:id="42"/>
    </w:p>
    <w:p w14:paraId="61ED464D" w14:textId="77777777" w:rsidR="00745227" w:rsidRDefault="00604F6D">
      <w:pPr>
        <w:pStyle w:val="Standard"/>
        <w:numPr>
          <w:ilvl w:val="1"/>
          <w:numId w:val="70"/>
        </w:numPr>
        <w:spacing w:after="240"/>
        <w:ind w:left="1134" w:hanging="567"/>
      </w:pPr>
      <w: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14:paraId="66AEDF39" w14:textId="77777777" w:rsidR="00745227" w:rsidRDefault="00604F6D">
      <w:pPr>
        <w:pStyle w:val="Standard"/>
        <w:numPr>
          <w:ilvl w:val="1"/>
          <w:numId w:val="70"/>
        </w:numPr>
        <w:spacing w:after="240"/>
        <w:ind w:left="1134" w:hanging="567"/>
      </w:pPr>
      <w: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14:paraId="5DB67315" w14:textId="77777777" w:rsidR="00745227" w:rsidRDefault="00604F6D">
      <w:pPr>
        <w:pStyle w:val="Heading3"/>
        <w:numPr>
          <w:ilvl w:val="0"/>
          <w:numId w:val="70"/>
        </w:numPr>
        <w:ind w:left="567" w:hanging="567"/>
      </w:pPr>
      <w:bookmarkStart w:id="43" w:name="_Toc83731474"/>
      <w:r>
        <w:t>Sub-Contractors</w:t>
      </w:r>
      <w:bookmarkEnd w:id="43"/>
    </w:p>
    <w:p w14:paraId="3B69E39E" w14:textId="77777777" w:rsidR="00745227" w:rsidRDefault="00604F6D">
      <w:pPr>
        <w:pStyle w:val="Standard"/>
        <w:numPr>
          <w:ilvl w:val="1"/>
          <w:numId w:val="70"/>
        </w:numPr>
        <w:spacing w:after="240"/>
        <w:ind w:left="1134" w:hanging="567"/>
      </w:pPr>
      <w:r>
        <w:t>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14:paraId="684DE8F5" w14:textId="77777777" w:rsidR="00745227" w:rsidRDefault="00604F6D">
      <w:pPr>
        <w:pStyle w:val="Standard"/>
        <w:numPr>
          <w:ilvl w:val="2"/>
          <w:numId w:val="70"/>
        </w:numPr>
        <w:spacing w:after="240"/>
        <w:ind w:left="1985" w:hanging="851"/>
      </w:pPr>
      <w: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14:paraId="0FEEE090" w14:textId="77777777" w:rsidR="00745227" w:rsidRDefault="00604F6D">
      <w:pPr>
        <w:pStyle w:val="Standard"/>
        <w:numPr>
          <w:ilvl w:val="2"/>
          <w:numId w:val="70"/>
        </w:numPr>
        <w:spacing w:after="240"/>
        <w:ind w:left="1985" w:hanging="851"/>
      </w:pPr>
      <w:r>
        <w:lastRenderedPageBreak/>
        <w:t>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14:paraId="5A29BAD2" w14:textId="42A7AB5F" w:rsidR="00745227" w:rsidRDefault="00604F6D">
      <w:pPr>
        <w:pStyle w:val="Standard"/>
        <w:numPr>
          <w:ilvl w:val="1"/>
          <w:numId w:val="70"/>
        </w:numPr>
        <w:spacing w:after="240"/>
        <w:ind w:left="1134" w:hanging="567"/>
      </w:pPr>
      <w:r>
        <w:t>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14:paraId="356632A7" w14:textId="77777777" w:rsidR="00216D74" w:rsidRDefault="00216D74" w:rsidP="00216D74">
      <w:pPr>
        <w:pStyle w:val="Standard"/>
        <w:spacing w:after="240"/>
        <w:ind w:left="1134"/>
      </w:pPr>
    </w:p>
    <w:p w14:paraId="2D48E60D" w14:textId="38133FFD" w:rsidR="00745227" w:rsidRDefault="00604F6D">
      <w:pPr>
        <w:pStyle w:val="Heading2"/>
      </w:pPr>
      <w:bookmarkStart w:id="44" w:name="_Toc83731475"/>
      <w:r>
        <w:t>Annex D3:</w:t>
      </w:r>
      <w:bookmarkEnd w:id="44"/>
      <w:r>
        <w:t xml:space="preserve"> </w:t>
      </w:r>
    </w:p>
    <w:p w14:paraId="60AE407C" w14:textId="77777777" w:rsidR="00745227" w:rsidRDefault="00604F6D">
      <w:pPr>
        <w:pStyle w:val="Heading2"/>
        <w:spacing w:before="0"/>
      </w:pPr>
      <w:bookmarkStart w:id="45" w:name="_Toc83731476"/>
      <w:r>
        <w:t>Local Government Pension Schemes (LGPS)</w:t>
      </w:r>
      <w:bookmarkEnd w:id="45"/>
    </w:p>
    <w:p w14:paraId="17ECC4FE" w14:textId="77777777" w:rsidR="00745227" w:rsidRDefault="00604F6D">
      <w:pPr>
        <w:pStyle w:val="Standard"/>
        <w:spacing w:after="240"/>
      </w:pPr>
      <w:r>
        <w:t>[</w:t>
      </w:r>
      <w:r w:rsidRPr="00216D74">
        <w:t>Guidance:</w:t>
      </w:r>
      <w:r>
        <w:t xml:space="preserve"> Note the LGPS unlike the CSPS &amp; NHSPS is a funded scheme which has associated cost implications as follows:</w:t>
      </w:r>
    </w:p>
    <w:p w14:paraId="714E05FC" w14:textId="77777777" w:rsidR="00745227" w:rsidRDefault="00604F6D">
      <w:pPr>
        <w:pStyle w:val="Standard"/>
        <w:spacing w:after="240"/>
      </w:pPr>
      <w:r>
        <w:t>There is not 1 LGPS but approx. 90 different Funds, each with their own separate Scheme Employer and Administering Authority, it is important to identify the correct one(s) and amend the definition of "Fund" accordingly.</w:t>
      </w:r>
    </w:p>
    <w:p w14:paraId="594879D9" w14:textId="77777777" w:rsidR="00745227" w:rsidRDefault="00604F6D">
      <w:pPr>
        <w:pStyle w:val="Standard"/>
        <w:spacing w:after="240"/>
      </w:pPr>
      <w: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C7769D9" w14:textId="77777777" w:rsidR="00745227" w:rsidRDefault="00604F6D">
      <w:pPr>
        <w:pStyle w:val="Standard"/>
        <w:spacing w:after="240"/>
      </w:pPr>
      <w: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C2498E1" w14:textId="77777777" w:rsidR="00745227" w:rsidRDefault="00604F6D">
      <w:pPr>
        <w:pStyle w:val="Heading3"/>
        <w:numPr>
          <w:ilvl w:val="0"/>
          <w:numId w:val="72"/>
        </w:numPr>
        <w:ind w:left="567" w:hanging="567"/>
      </w:pPr>
      <w:bookmarkStart w:id="46" w:name="_Toc83731477"/>
      <w:r>
        <w:t>Definitions</w:t>
      </w:r>
      <w:bookmarkEnd w:id="46"/>
    </w:p>
    <w:p w14:paraId="4309AA8F" w14:textId="77777777" w:rsidR="00745227" w:rsidRDefault="00604F6D">
      <w:pPr>
        <w:pStyle w:val="ListParagraph"/>
        <w:numPr>
          <w:ilvl w:val="1"/>
          <w:numId w:val="72"/>
        </w:numPr>
        <w:ind w:left="1134" w:hanging="567"/>
      </w:pPr>
      <w:r>
        <w:t>In this Annex D3: LGPS to Part D: Pensions, the following words have the following meanings and they shall supplement Joint Schedule 1 (Definitions):</w:t>
      </w:r>
    </w:p>
    <w:tbl>
      <w:tblPr>
        <w:tblW w:w="9026" w:type="dxa"/>
        <w:tblCellMar>
          <w:left w:w="10" w:type="dxa"/>
          <w:right w:w="10" w:type="dxa"/>
        </w:tblCellMar>
        <w:tblLook w:val="0000" w:firstRow="0" w:lastRow="0" w:firstColumn="0" w:lastColumn="0" w:noHBand="0" w:noVBand="0"/>
      </w:tblPr>
      <w:tblGrid>
        <w:gridCol w:w="2071"/>
        <w:gridCol w:w="6955"/>
      </w:tblGrid>
      <w:tr w:rsidR="00745227" w14:paraId="0A6C178D" w14:textId="77777777">
        <w:trPr>
          <w:cantSplit/>
          <w:trHeight w:val="653"/>
        </w:trPr>
        <w:tc>
          <w:tcPr>
            <w:tcW w:w="2071" w:type="dxa"/>
            <w:shd w:val="clear" w:color="auto" w:fill="auto"/>
            <w:tcMar>
              <w:top w:w="0" w:type="dxa"/>
              <w:left w:w="108" w:type="dxa"/>
              <w:bottom w:w="0" w:type="dxa"/>
              <w:right w:w="108" w:type="dxa"/>
            </w:tcMar>
          </w:tcPr>
          <w:p w14:paraId="64E0F9FA" w14:textId="77777777" w:rsidR="00745227" w:rsidRDefault="00604F6D">
            <w:r>
              <w:rPr>
                <w:szCs w:val="24"/>
              </w:rPr>
              <w:t>"</w:t>
            </w:r>
            <w:r>
              <w:rPr>
                <w:b/>
                <w:szCs w:val="24"/>
              </w:rPr>
              <w:t>Administering Authority</w:t>
            </w:r>
            <w:r>
              <w:rPr>
                <w:szCs w:val="24"/>
              </w:rPr>
              <w:t>"</w:t>
            </w:r>
          </w:p>
        </w:tc>
        <w:tc>
          <w:tcPr>
            <w:tcW w:w="6955" w:type="dxa"/>
            <w:shd w:val="clear" w:color="auto" w:fill="auto"/>
            <w:tcMar>
              <w:top w:w="0" w:type="dxa"/>
              <w:left w:w="108" w:type="dxa"/>
              <w:bottom w:w="0" w:type="dxa"/>
              <w:right w:w="108" w:type="dxa"/>
            </w:tcMar>
          </w:tcPr>
          <w:p w14:paraId="25E2D758" w14:textId="77777777" w:rsidR="00745227" w:rsidRPr="00216D74" w:rsidRDefault="00604F6D">
            <w:pPr>
              <w:rPr>
                <w:szCs w:val="24"/>
              </w:rPr>
            </w:pPr>
            <w:r>
              <w:rPr>
                <w:szCs w:val="24"/>
              </w:rPr>
              <w:t xml:space="preserve">in relation to </w:t>
            </w:r>
            <w:r w:rsidRPr="00216D74">
              <w:rPr>
                <w:szCs w:val="24"/>
              </w:rPr>
              <w:t>the Fund [insert name],</w:t>
            </w:r>
            <w:r>
              <w:rPr>
                <w:szCs w:val="24"/>
              </w:rPr>
              <w:t xml:space="preserve"> the relevant Administering Authority of that Fund for the purposes of the Local Government Pension Scheme Regulations 2013;</w:t>
            </w:r>
          </w:p>
        </w:tc>
      </w:tr>
      <w:tr w:rsidR="00745227" w14:paraId="49E537C1" w14:textId="77777777">
        <w:trPr>
          <w:cantSplit/>
          <w:trHeight w:val="653"/>
        </w:trPr>
        <w:tc>
          <w:tcPr>
            <w:tcW w:w="2071" w:type="dxa"/>
            <w:shd w:val="clear" w:color="auto" w:fill="auto"/>
            <w:tcMar>
              <w:top w:w="0" w:type="dxa"/>
              <w:left w:w="108" w:type="dxa"/>
              <w:bottom w:w="0" w:type="dxa"/>
              <w:right w:w="108" w:type="dxa"/>
            </w:tcMar>
          </w:tcPr>
          <w:p w14:paraId="6FD021C2" w14:textId="77777777" w:rsidR="00745227" w:rsidRDefault="00604F6D">
            <w:r>
              <w:rPr>
                <w:szCs w:val="24"/>
              </w:rPr>
              <w:t>"</w:t>
            </w:r>
            <w:r>
              <w:rPr>
                <w:b/>
                <w:szCs w:val="24"/>
              </w:rPr>
              <w:t>Fund Actuary</w:t>
            </w:r>
            <w:r>
              <w:rPr>
                <w:szCs w:val="24"/>
              </w:rPr>
              <w:t>"</w:t>
            </w:r>
          </w:p>
        </w:tc>
        <w:tc>
          <w:tcPr>
            <w:tcW w:w="6955" w:type="dxa"/>
            <w:shd w:val="clear" w:color="auto" w:fill="auto"/>
            <w:tcMar>
              <w:top w:w="0" w:type="dxa"/>
              <w:left w:w="108" w:type="dxa"/>
              <w:bottom w:w="0" w:type="dxa"/>
              <w:right w:w="108" w:type="dxa"/>
            </w:tcMar>
          </w:tcPr>
          <w:p w14:paraId="1EAC0FC2" w14:textId="77777777" w:rsidR="00745227" w:rsidRDefault="00604F6D">
            <w:pPr>
              <w:rPr>
                <w:szCs w:val="24"/>
              </w:rPr>
            </w:pPr>
            <w:r>
              <w:rPr>
                <w:szCs w:val="24"/>
              </w:rPr>
              <w:t>the actuary to a Fund appointed by the Administering Authority of that Fund;</w:t>
            </w:r>
          </w:p>
        </w:tc>
      </w:tr>
      <w:tr w:rsidR="00745227" w14:paraId="087CF533" w14:textId="77777777">
        <w:trPr>
          <w:cantSplit/>
          <w:trHeight w:val="337"/>
        </w:trPr>
        <w:tc>
          <w:tcPr>
            <w:tcW w:w="2071" w:type="dxa"/>
            <w:shd w:val="clear" w:color="auto" w:fill="auto"/>
            <w:tcMar>
              <w:top w:w="0" w:type="dxa"/>
              <w:left w:w="108" w:type="dxa"/>
              <w:bottom w:w="0" w:type="dxa"/>
              <w:right w:w="108" w:type="dxa"/>
            </w:tcMar>
          </w:tcPr>
          <w:p w14:paraId="7998BC61" w14:textId="77777777" w:rsidR="00745227" w:rsidRDefault="00604F6D">
            <w:r>
              <w:rPr>
                <w:szCs w:val="24"/>
              </w:rPr>
              <w:t>"</w:t>
            </w:r>
            <w:r>
              <w:rPr>
                <w:b/>
                <w:szCs w:val="24"/>
              </w:rPr>
              <w:t>Fund</w:t>
            </w:r>
            <w:r>
              <w:rPr>
                <w:szCs w:val="24"/>
              </w:rPr>
              <w:t>"</w:t>
            </w:r>
          </w:p>
        </w:tc>
        <w:tc>
          <w:tcPr>
            <w:tcW w:w="6955" w:type="dxa"/>
            <w:shd w:val="clear" w:color="auto" w:fill="auto"/>
            <w:tcMar>
              <w:top w:w="0" w:type="dxa"/>
              <w:left w:w="108" w:type="dxa"/>
              <w:bottom w:w="0" w:type="dxa"/>
              <w:right w:w="108" w:type="dxa"/>
            </w:tcMar>
          </w:tcPr>
          <w:p w14:paraId="737FCA33" w14:textId="77777777" w:rsidR="00745227" w:rsidRPr="00216D74" w:rsidRDefault="00604F6D">
            <w:pPr>
              <w:rPr>
                <w:szCs w:val="24"/>
              </w:rPr>
            </w:pPr>
            <w:r w:rsidRPr="00216D74">
              <w:rPr>
                <w:szCs w:val="24"/>
              </w:rPr>
              <w:t>[insert name], a pension fund within the LGPS;</w:t>
            </w:r>
          </w:p>
        </w:tc>
      </w:tr>
      <w:tr w:rsidR="00745227" w14:paraId="68868FB2" w14:textId="77777777">
        <w:trPr>
          <w:cantSplit/>
          <w:trHeight w:val="1269"/>
        </w:trPr>
        <w:tc>
          <w:tcPr>
            <w:tcW w:w="2071" w:type="dxa"/>
            <w:shd w:val="clear" w:color="auto" w:fill="auto"/>
            <w:tcMar>
              <w:top w:w="0" w:type="dxa"/>
              <w:left w:w="108" w:type="dxa"/>
              <w:bottom w:w="0" w:type="dxa"/>
              <w:right w:w="108" w:type="dxa"/>
            </w:tcMar>
          </w:tcPr>
          <w:p w14:paraId="3CD763F1" w14:textId="77777777" w:rsidR="00745227" w:rsidRDefault="00604F6D">
            <w:r>
              <w:rPr>
                <w:szCs w:val="24"/>
              </w:rPr>
              <w:lastRenderedPageBreak/>
              <w:t>"</w:t>
            </w:r>
            <w:r>
              <w:rPr>
                <w:b/>
                <w:szCs w:val="24"/>
              </w:rPr>
              <w:t>LGPS</w:t>
            </w:r>
            <w:r>
              <w:rPr>
                <w:szCs w:val="24"/>
              </w:rPr>
              <w:t>"</w:t>
            </w:r>
          </w:p>
        </w:tc>
        <w:tc>
          <w:tcPr>
            <w:tcW w:w="6955" w:type="dxa"/>
            <w:shd w:val="clear" w:color="auto" w:fill="auto"/>
            <w:tcMar>
              <w:top w:w="0" w:type="dxa"/>
              <w:left w:w="108" w:type="dxa"/>
              <w:bottom w:w="0" w:type="dxa"/>
              <w:right w:w="108" w:type="dxa"/>
            </w:tcMar>
          </w:tcPr>
          <w:p w14:paraId="2E21FA28" w14:textId="77777777" w:rsidR="00745227" w:rsidRDefault="00604F6D">
            <w:pPr>
              <w:rPr>
                <w:szCs w:val="24"/>
              </w:rPr>
            </w:pPr>
            <w:r>
              <w:rPr>
                <w:szCs w:val="24"/>
              </w:rPr>
              <w:t>the Local Government Pension Scheme as governed by the LGPS Regulations, and any other regulations (in each case as amended from time to time) which are from time to time applicable to the Local Government Pension Scheme;</w:t>
            </w:r>
          </w:p>
        </w:tc>
      </w:tr>
      <w:tr w:rsidR="00745227" w14:paraId="60163F45" w14:textId="77777777">
        <w:trPr>
          <w:cantSplit/>
          <w:trHeight w:val="990"/>
        </w:trPr>
        <w:tc>
          <w:tcPr>
            <w:tcW w:w="2071" w:type="dxa"/>
            <w:shd w:val="clear" w:color="auto" w:fill="auto"/>
            <w:tcMar>
              <w:top w:w="0" w:type="dxa"/>
              <w:left w:w="108" w:type="dxa"/>
              <w:bottom w:w="0" w:type="dxa"/>
              <w:right w:w="108" w:type="dxa"/>
            </w:tcMar>
          </w:tcPr>
          <w:p w14:paraId="0D437E3A" w14:textId="77777777" w:rsidR="00745227" w:rsidRDefault="00604F6D">
            <w:r>
              <w:rPr>
                <w:szCs w:val="24"/>
              </w:rPr>
              <w:t>"</w:t>
            </w:r>
            <w:r>
              <w:rPr>
                <w:b/>
                <w:szCs w:val="24"/>
              </w:rPr>
              <w:t>LGPS Admission Agreement</w:t>
            </w:r>
            <w:r>
              <w:rPr>
                <w:szCs w:val="24"/>
              </w:rPr>
              <w:t>"</w:t>
            </w:r>
          </w:p>
        </w:tc>
        <w:tc>
          <w:tcPr>
            <w:tcW w:w="6955" w:type="dxa"/>
            <w:shd w:val="clear" w:color="auto" w:fill="auto"/>
            <w:tcMar>
              <w:top w:w="0" w:type="dxa"/>
              <w:left w:w="108" w:type="dxa"/>
              <w:bottom w:w="0" w:type="dxa"/>
              <w:right w:w="108" w:type="dxa"/>
            </w:tcMar>
          </w:tcPr>
          <w:p w14:paraId="714E3363" w14:textId="77777777" w:rsidR="00745227" w:rsidRDefault="00604F6D">
            <w:pPr>
              <w:rPr>
                <w:szCs w:val="24"/>
              </w:rPr>
            </w:pPr>
            <w:r>
              <w:rPr>
                <w:szCs w:val="24"/>
              </w:rPr>
              <w:t>an admission agreement within the meaning in Schedule 1 of the Local Government Pension Scheme Regulations 2013;</w:t>
            </w:r>
          </w:p>
        </w:tc>
      </w:tr>
      <w:tr w:rsidR="00745227" w14:paraId="59E6A489" w14:textId="77777777">
        <w:trPr>
          <w:cantSplit/>
          <w:trHeight w:val="900"/>
        </w:trPr>
        <w:tc>
          <w:tcPr>
            <w:tcW w:w="2071" w:type="dxa"/>
            <w:shd w:val="clear" w:color="auto" w:fill="auto"/>
            <w:tcMar>
              <w:top w:w="0" w:type="dxa"/>
              <w:left w:w="108" w:type="dxa"/>
              <w:bottom w:w="0" w:type="dxa"/>
              <w:right w:w="108" w:type="dxa"/>
            </w:tcMar>
          </w:tcPr>
          <w:p w14:paraId="50861FE5" w14:textId="77777777" w:rsidR="00745227" w:rsidRDefault="00604F6D">
            <w:r>
              <w:rPr>
                <w:szCs w:val="24"/>
              </w:rPr>
              <w:t>"</w:t>
            </w:r>
            <w:r>
              <w:rPr>
                <w:b/>
                <w:szCs w:val="24"/>
              </w:rPr>
              <w:t>LGPS Admission Body</w:t>
            </w:r>
            <w:r>
              <w:rPr>
                <w:szCs w:val="24"/>
              </w:rPr>
              <w:t>"</w:t>
            </w:r>
          </w:p>
        </w:tc>
        <w:tc>
          <w:tcPr>
            <w:tcW w:w="6955" w:type="dxa"/>
            <w:shd w:val="clear" w:color="auto" w:fill="auto"/>
            <w:tcMar>
              <w:top w:w="0" w:type="dxa"/>
              <w:left w:w="108" w:type="dxa"/>
              <w:bottom w:w="0" w:type="dxa"/>
              <w:right w:w="108" w:type="dxa"/>
            </w:tcMar>
          </w:tcPr>
          <w:p w14:paraId="44826843" w14:textId="77777777" w:rsidR="00745227" w:rsidRDefault="00604F6D">
            <w:pPr>
              <w:rPr>
                <w:szCs w:val="24"/>
              </w:rPr>
            </w:pPr>
            <w:r>
              <w:rPr>
                <w:szCs w:val="24"/>
              </w:rPr>
              <w:t>an admission body (within the meaning of Part 3 of Schedule 2 of the Local Government Pension Scheme Regulations 2013);</w:t>
            </w:r>
          </w:p>
        </w:tc>
      </w:tr>
      <w:tr w:rsidR="00745227" w14:paraId="0FB493D2" w14:textId="77777777">
        <w:trPr>
          <w:cantSplit/>
          <w:trHeight w:val="900"/>
        </w:trPr>
        <w:tc>
          <w:tcPr>
            <w:tcW w:w="2071" w:type="dxa"/>
            <w:shd w:val="clear" w:color="auto" w:fill="auto"/>
            <w:tcMar>
              <w:top w:w="0" w:type="dxa"/>
              <w:left w:w="108" w:type="dxa"/>
              <w:bottom w:w="0" w:type="dxa"/>
              <w:right w:w="108" w:type="dxa"/>
            </w:tcMar>
          </w:tcPr>
          <w:p w14:paraId="0042FF94" w14:textId="77777777" w:rsidR="00745227" w:rsidRDefault="00604F6D">
            <w:r>
              <w:rPr>
                <w:szCs w:val="24"/>
              </w:rPr>
              <w:t>"</w:t>
            </w:r>
            <w:r>
              <w:rPr>
                <w:b/>
                <w:szCs w:val="24"/>
              </w:rPr>
              <w:t>LGPS Eligible Employees</w:t>
            </w:r>
            <w:r>
              <w:rPr>
                <w:szCs w:val="24"/>
              </w:rPr>
              <w:t>"</w:t>
            </w:r>
          </w:p>
        </w:tc>
        <w:tc>
          <w:tcPr>
            <w:tcW w:w="6955" w:type="dxa"/>
            <w:shd w:val="clear" w:color="auto" w:fill="auto"/>
            <w:tcMar>
              <w:top w:w="0" w:type="dxa"/>
              <w:left w:w="108" w:type="dxa"/>
              <w:bottom w:w="0" w:type="dxa"/>
              <w:right w:w="108" w:type="dxa"/>
            </w:tcMar>
          </w:tcPr>
          <w:p w14:paraId="25538225" w14:textId="77777777" w:rsidR="00745227" w:rsidRDefault="00604F6D">
            <w:pPr>
              <w:rPr>
                <w:szCs w:val="24"/>
              </w:rPr>
            </w:pPr>
            <w:r>
              <w:rPr>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745227" w14:paraId="25B013FE" w14:textId="77777777">
        <w:trPr>
          <w:cantSplit/>
          <w:trHeight w:val="1665"/>
        </w:trPr>
        <w:tc>
          <w:tcPr>
            <w:tcW w:w="2071" w:type="dxa"/>
            <w:shd w:val="clear" w:color="auto" w:fill="auto"/>
            <w:tcMar>
              <w:top w:w="0" w:type="dxa"/>
              <w:left w:w="108" w:type="dxa"/>
              <w:bottom w:w="0" w:type="dxa"/>
              <w:right w:w="108" w:type="dxa"/>
            </w:tcMar>
          </w:tcPr>
          <w:p w14:paraId="1D97A101" w14:textId="77777777" w:rsidR="00745227" w:rsidRDefault="00604F6D">
            <w:r>
              <w:rPr>
                <w:szCs w:val="24"/>
              </w:rPr>
              <w:t>"</w:t>
            </w:r>
            <w:r>
              <w:rPr>
                <w:b/>
                <w:szCs w:val="24"/>
              </w:rPr>
              <w:t>LGPS Regulations</w:t>
            </w:r>
            <w:r>
              <w:rPr>
                <w:szCs w:val="24"/>
              </w:rPr>
              <w:t>"</w:t>
            </w:r>
          </w:p>
        </w:tc>
        <w:tc>
          <w:tcPr>
            <w:tcW w:w="6955" w:type="dxa"/>
            <w:shd w:val="clear" w:color="auto" w:fill="auto"/>
            <w:tcMar>
              <w:top w:w="0" w:type="dxa"/>
              <w:left w:w="108" w:type="dxa"/>
              <w:bottom w:w="0" w:type="dxa"/>
              <w:right w:w="108" w:type="dxa"/>
            </w:tcMar>
          </w:tcPr>
          <w:p w14:paraId="5D08624D" w14:textId="77777777" w:rsidR="00745227" w:rsidRDefault="00604F6D">
            <w:pPr>
              <w:rPr>
                <w:szCs w:val="24"/>
              </w:rPr>
            </w:pPr>
            <w:r>
              <w:rPr>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6EFBBFF4" w14:textId="77777777" w:rsidR="00745227" w:rsidRDefault="00604F6D">
      <w:pPr>
        <w:pStyle w:val="Heading3"/>
        <w:numPr>
          <w:ilvl w:val="0"/>
          <w:numId w:val="72"/>
        </w:numPr>
        <w:ind w:left="567" w:hanging="567"/>
      </w:pPr>
      <w:bookmarkStart w:id="47" w:name="_Toc83731478"/>
      <w:r>
        <w:t>Supplier must become a LGPS admission body</w:t>
      </w:r>
      <w:bookmarkEnd w:id="47"/>
      <w:r>
        <w:t xml:space="preserve"> </w:t>
      </w:r>
    </w:p>
    <w:p w14:paraId="4AFFD4D3" w14:textId="77777777" w:rsidR="00745227" w:rsidRDefault="00604F6D">
      <w:pPr>
        <w:pStyle w:val="Standard"/>
        <w:numPr>
          <w:ilvl w:val="1"/>
          <w:numId w:val="72"/>
        </w:numPr>
        <w:spacing w:after="240"/>
        <w:ind w:left="1134" w:hanging="567"/>
      </w:pPr>
      <w:r>
        <w:t>Where the Supplier employs any LGPS Eligible Employees from a Relevant Transfer Date, the Supplier shall become an LGPS Admission Body and shall, on or as soon as reasonably practicable after the Relevant Transfer Date, enter into a LGPS Admission Agreement with the Administering Authority which will have effect from and including the Relevant Transfer Date.</w:t>
      </w:r>
    </w:p>
    <w:p w14:paraId="53946CC1" w14:textId="77777777" w:rsidR="00745227" w:rsidRDefault="00604F6D">
      <w:pPr>
        <w:pStyle w:val="Standard"/>
        <w:numPr>
          <w:ilvl w:val="1"/>
          <w:numId w:val="72"/>
        </w:numPr>
        <w:spacing w:after="240"/>
        <w:ind w:left="1134" w:hanging="567"/>
      </w:pPr>
      <w: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001D1A9C" w14:textId="77777777" w:rsidR="00745227" w:rsidRDefault="00604F6D">
      <w:pPr>
        <w:pStyle w:val="Standard"/>
        <w:numPr>
          <w:ilvl w:val="1"/>
          <w:numId w:val="72"/>
        </w:numPr>
        <w:spacing w:after="240"/>
        <w:ind w:left="1134" w:hanging="567"/>
      </w:pPr>
      <w:r>
        <w:t xml:space="preserve">The Supplier shall provide any indemnity, bond or guarantee required by an Administering Authority in relation to an LGPS Admission Agreement. </w:t>
      </w:r>
    </w:p>
    <w:p w14:paraId="779274C3" w14:textId="77777777" w:rsidR="00745227" w:rsidRDefault="00604F6D">
      <w:pPr>
        <w:pStyle w:val="Standard"/>
        <w:numPr>
          <w:ilvl w:val="1"/>
          <w:numId w:val="72"/>
        </w:numPr>
        <w:spacing w:after="240"/>
        <w:ind w:left="1134" w:hanging="567"/>
      </w:pPr>
      <w:r>
        <w:t>The Supplier shall not automatically enrol or re-enrol for the purposes of the Pensions Act 2008 any LGPS Eligible Employees in any pension scheme other than the LGPS.</w:t>
      </w:r>
    </w:p>
    <w:p w14:paraId="48964F7B" w14:textId="77777777" w:rsidR="00745227" w:rsidRDefault="00604F6D">
      <w:pPr>
        <w:pStyle w:val="Heading3"/>
        <w:numPr>
          <w:ilvl w:val="0"/>
          <w:numId w:val="72"/>
        </w:numPr>
        <w:ind w:left="567" w:hanging="567"/>
      </w:pPr>
      <w:bookmarkStart w:id="48" w:name="_Toc83731479"/>
      <w:r>
        <w:t>Right of set-off</w:t>
      </w:r>
      <w:bookmarkEnd w:id="48"/>
      <w:r>
        <w:t xml:space="preserve"> </w:t>
      </w:r>
    </w:p>
    <w:p w14:paraId="49740676" w14:textId="77777777" w:rsidR="00745227" w:rsidRDefault="00604F6D">
      <w:pPr>
        <w:pStyle w:val="Standard"/>
        <w:numPr>
          <w:ilvl w:val="1"/>
          <w:numId w:val="72"/>
        </w:numPr>
        <w:spacing w:after="240"/>
        <w:ind w:left="1134" w:hanging="578"/>
      </w:pPr>
      <w:r>
        <w:t xml:space="preserve">The Buyer shall have a right to set off against any payments due to the Supplier under the Contract an amount equal to any overdue employer and employee contributions and other payments (and interest payable under the LGPS </w:t>
      </w:r>
      <w:r>
        <w:lastRenderedPageBreak/>
        <w:t>Regulations) due from the Supplier (or from any relevant Sub-contractor) under an LGPS Admission Agreement and shall pay such amount to the relevant Fund.</w:t>
      </w:r>
    </w:p>
    <w:p w14:paraId="0328C279" w14:textId="77777777" w:rsidR="00745227" w:rsidRDefault="00604F6D">
      <w:pPr>
        <w:pStyle w:val="Heading3"/>
        <w:numPr>
          <w:ilvl w:val="0"/>
          <w:numId w:val="72"/>
        </w:numPr>
        <w:ind w:left="567" w:hanging="567"/>
      </w:pPr>
      <w:bookmarkStart w:id="49" w:name="_Toc83731480"/>
      <w:r>
        <w:t>Supplier ceases to be an LGPS Admission Body</w:t>
      </w:r>
      <w:bookmarkEnd w:id="49"/>
    </w:p>
    <w:p w14:paraId="4DB95B1F" w14:textId="77777777" w:rsidR="00745227" w:rsidRDefault="00604F6D">
      <w:pPr>
        <w:pStyle w:val="Standard"/>
        <w:numPr>
          <w:ilvl w:val="1"/>
          <w:numId w:val="72"/>
        </w:numPr>
        <w:spacing w:after="240"/>
        <w:ind w:left="1134" w:hanging="567"/>
      </w:pPr>
      <w: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14:paraId="5AE992D2" w14:textId="77777777" w:rsidR="00745227" w:rsidRDefault="00604F6D">
      <w:pPr>
        <w:pStyle w:val="Heading3"/>
        <w:numPr>
          <w:ilvl w:val="0"/>
          <w:numId w:val="72"/>
        </w:numPr>
      </w:pPr>
      <w:bookmarkStart w:id="50" w:name="_Toc83731481"/>
      <w:r>
        <w:t>Discretionary benefits</w:t>
      </w:r>
      <w:bookmarkEnd w:id="50"/>
      <w:r>
        <w:t xml:space="preserve"> </w:t>
      </w:r>
    </w:p>
    <w:p w14:paraId="4DB27BF9" w14:textId="7116C65C" w:rsidR="00745227" w:rsidRDefault="00604F6D">
      <w:pPr>
        <w:pStyle w:val="Standard"/>
        <w:numPr>
          <w:ilvl w:val="1"/>
          <w:numId w:val="72"/>
        </w:numPr>
        <w:spacing w:after="240"/>
        <w:ind w:left="1134" w:hanging="567"/>
      </w:pPr>
      <w: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14:paraId="11C49EE7" w14:textId="77777777" w:rsidR="00216D74" w:rsidRDefault="00216D74" w:rsidP="00216D74">
      <w:pPr>
        <w:pStyle w:val="Standard"/>
        <w:spacing w:after="240"/>
        <w:ind w:left="1134"/>
      </w:pPr>
    </w:p>
    <w:p w14:paraId="79680B50" w14:textId="44F0B441" w:rsidR="00745227" w:rsidRDefault="00604F6D">
      <w:pPr>
        <w:pStyle w:val="Heading2"/>
      </w:pPr>
      <w:bookmarkStart w:id="51" w:name="_Toc83731482"/>
      <w:r>
        <w:t>Annex D4: Other Schemes</w:t>
      </w:r>
      <w:bookmarkEnd w:id="51"/>
    </w:p>
    <w:p w14:paraId="2786F66C" w14:textId="7CB575F5" w:rsidR="00745227" w:rsidRDefault="00216D74">
      <w:pPr>
        <w:pStyle w:val="Standard"/>
        <w:spacing w:after="240"/>
      </w:pPr>
      <w:r>
        <w:t>Not Applicable</w:t>
      </w:r>
    </w:p>
    <w:p w14:paraId="0B758C01" w14:textId="3F10B18D" w:rsidR="00216D74" w:rsidRDefault="00216D74">
      <w:pPr>
        <w:widowControl w:val="0"/>
        <w:suppressAutoHyphens w:val="0"/>
        <w:rPr>
          <w:rFonts w:eastAsia="F" w:cs="F"/>
          <w:b/>
          <w:sz w:val="28"/>
          <w:szCs w:val="26"/>
        </w:rPr>
      </w:pPr>
      <w:bookmarkStart w:id="52" w:name="_Toc83731483"/>
      <w:r>
        <w:br w:type="page"/>
      </w:r>
    </w:p>
    <w:p w14:paraId="78596EA9" w14:textId="587B40E6" w:rsidR="00745227" w:rsidRDefault="00604F6D">
      <w:pPr>
        <w:pStyle w:val="Heading2"/>
      </w:pPr>
      <w:bookmarkStart w:id="53" w:name="_GoBack"/>
      <w:bookmarkEnd w:id="53"/>
      <w:r>
        <w:lastRenderedPageBreak/>
        <w:t>PART E: Staff Transfer on Exit</w:t>
      </w:r>
      <w:bookmarkEnd w:id="52"/>
      <w:r>
        <w:t xml:space="preserve"> </w:t>
      </w:r>
    </w:p>
    <w:p w14:paraId="19F74301" w14:textId="77777777" w:rsidR="00745227" w:rsidRDefault="00604F6D">
      <w:pPr>
        <w:pStyle w:val="Heading3"/>
        <w:numPr>
          <w:ilvl w:val="0"/>
          <w:numId w:val="73"/>
        </w:numPr>
        <w:ind w:left="567" w:hanging="567"/>
      </w:pPr>
      <w:bookmarkStart w:id="54" w:name="_Toc83731484"/>
      <w:r>
        <w:t>Obligations before a Staff Transfer</w:t>
      </w:r>
      <w:bookmarkEnd w:id="54"/>
    </w:p>
    <w:p w14:paraId="3DD24FB6" w14:textId="77777777" w:rsidR="00745227" w:rsidRDefault="00604F6D">
      <w:pPr>
        <w:pStyle w:val="Standard"/>
        <w:numPr>
          <w:ilvl w:val="1"/>
          <w:numId w:val="73"/>
        </w:numPr>
        <w:spacing w:after="240"/>
        <w:ind w:left="1134" w:hanging="567"/>
      </w:pPr>
      <w:r>
        <w:t>The Supplier agrees that within 20 Working Days of the earliest of:</w:t>
      </w:r>
    </w:p>
    <w:p w14:paraId="4848C47F" w14:textId="77777777" w:rsidR="00745227" w:rsidRDefault="00604F6D">
      <w:pPr>
        <w:pStyle w:val="Standard"/>
        <w:numPr>
          <w:ilvl w:val="2"/>
          <w:numId w:val="73"/>
        </w:numPr>
        <w:spacing w:after="240"/>
        <w:ind w:left="1985" w:hanging="851"/>
      </w:pPr>
      <w:r>
        <w:t xml:space="preserve">receipt of a notification from the Buyer of a Service Transfer or intended Service Transfer; </w:t>
      </w:r>
    </w:p>
    <w:p w14:paraId="2AA70BA3" w14:textId="77777777" w:rsidR="00745227" w:rsidRDefault="00604F6D">
      <w:pPr>
        <w:pStyle w:val="Standard"/>
        <w:numPr>
          <w:ilvl w:val="2"/>
          <w:numId w:val="73"/>
        </w:numPr>
        <w:spacing w:after="240"/>
        <w:ind w:left="1985" w:hanging="851"/>
      </w:pPr>
      <w:r>
        <w:t xml:space="preserve">receipt of the giving of notice of early termination or any Partial Termination of the relevant Contract; </w:t>
      </w:r>
    </w:p>
    <w:p w14:paraId="65763B56" w14:textId="77777777" w:rsidR="00745227" w:rsidRDefault="00604F6D">
      <w:pPr>
        <w:pStyle w:val="Standard"/>
        <w:numPr>
          <w:ilvl w:val="2"/>
          <w:numId w:val="73"/>
        </w:numPr>
        <w:spacing w:after="240"/>
        <w:ind w:left="1985" w:hanging="851"/>
      </w:pPr>
      <w:r>
        <w:t>the date which is 12 Months before the end of the Term; and</w:t>
      </w:r>
    </w:p>
    <w:p w14:paraId="03CF4B41" w14:textId="77777777" w:rsidR="00745227" w:rsidRDefault="00604F6D">
      <w:pPr>
        <w:pStyle w:val="Standard"/>
        <w:numPr>
          <w:ilvl w:val="2"/>
          <w:numId w:val="73"/>
        </w:numPr>
        <w:spacing w:after="240"/>
        <w:ind w:left="1985" w:hanging="851"/>
      </w:pPr>
      <w:r>
        <w:t>receipt of a written request of the Buyer at any time (provided that the Buyer shall only be entitled to make one such request in any 6 Month period),</w:t>
      </w:r>
    </w:p>
    <w:p w14:paraId="4286BD80" w14:textId="77777777" w:rsidR="00745227" w:rsidRDefault="00604F6D">
      <w:pPr>
        <w:pStyle w:val="Standard"/>
        <w:spacing w:after="240"/>
        <w:ind w:left="1134"/>
      </w:pPr>
      <w: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4620BCE1" w14:textId="77777777" w:rsidR="00745227" w:rsidRDefault="00604F6D">
      <w:pPr>
        <w:pStyle w:val="Standard"/>
        <w:numPr>
          <w:ilvl w:val="1"/>
          <w:numId w:val="73"/>
        </w:numPr>
        <w:spacing w:after="240"/>
        <w:ind w:left="1134" w:hanging="567"/>
      </w:pPr>
      <w:r>
        <w:t>At least 20 Working Days prior to the Service Transfer Date, the Supplier shall provide to the Buyer or at the direction of the Buyer to any Replacement Supplier and/or any Replacement Sub-contractor (</w:t>
      </w:r>
      <w:proofErr w:type="spellStart"/>
      <w:r>
        <w:t>i</w:t>
      </w:r>
      <w:proofErr w:type="spellEnd"/>
      <w: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70FAD45C" w14:textId="77777777" w:rsidR="00745227" w:rsidRDefault="00604F6D">
      <w:pPr>
        <w:pStyle w:val="Standard"/>
        <w:numPr>
          <w:ilvl w:val="1"/>
          <w:numId w:val="73"/>
        </w:numPr>
        <w:spacing w:after="240"/>
        <w:ind w:left="1134" w:hanging="567"/>
      </w:pPr>
      <w:r>
        <w:t xml:space="preserve">The Buyer shall be permitted to use and disclose information provided by the Supplier under Paragraphs </w:t>
      </w:r>
      <w:r>
        <w:rPr>
          <w:cs/>
        </w:rPr>
        <w:t>‎</w:t>
      </w:r>
      <w:r>
        <w:t xml:space="preserve">1.1 and </w:t>
      </w:r>
      <w:r>
        <w:rPr>
          <w:cs/>
        </w:rPr>
        <w:t>‎</w:t>
      </w:r>
      <w:r>
        <w:t xml:space="preserve">1.2 for the purpose of informing any prospective Replacement Supplier and/or Replacement Sub-contractor. </w:t>
      </w:r>
    </w:p>
    <w:p w14:paraId="61B1B858" w14:textId="77777777" w:rsidR="00745227" w:rsidRDefault="00604F6D">
      <w:pPr>
        <w:pStyle w:val="Standard"/>
        <w:numPr>
          <w:ilvl w:val="1"/>
          <w:numId w:val="73"/>
        </w:numPr>
        <w:spacing w:after="240"/>
        <w:ind w:left="1134" w:hanging="567"/>
      </w:pPr>
      <w:r>
        <w:t xml:space="preserve">The Supplier warrants, for the benefit of The Buyer, any Replacement Supplier, and any Replacement Sub-contractor that all information provided pursuant to Paragraphs </w:t>
      </w:r>
      <w:r>
        <w:rPr>
          <w:cs/>
        </w:rPr>
        <w:t>‎</w:t>
      </w:r>
      <w:r>
        <w:t xml:space="preserve">1.1 and </w:t>
      </w:r>
      <w:r>
        <w:rPr>
          <w:cs/>
        </w:rPr>
        <w:t>‎</w:t>
      </w:r>
      <w:r>
        <w:t>1.2 shall be true and accurate in all material respects at the time of providing the information.</w:t>
      </w:r>
    </w:p>
    <w:p w14:paraId="79F9E999" w14:textId="77777777" w:rsidR="00745227" w:rsidRDefault="00604F6D">
      <w:pPr>
        <w:pStyle w:val="Standard"/>
        <w:numPr>
          <w:ilvl w:val="1"/>
          <w:numId w:val="73"/>
        </w:numPr>
        <w:spacing w:after="240"/>
        <w:ind w:left="1134" w:hanging="567"/>
      </w:pPr>
      <w:r>
        <w:t xml:space="preserve">From the date of the earliest event referred to in Paragraph </w:t>
      </w:r>
      <w:r>
        <w:rPr>
          <w:cs/>
        </w:rPr>
        <w:t>‎</w:t>
      </w:r>
      <w:r>
        <w:t xml:space="preserve">1.1, </w:t>
      </w:r>
      <w:r>
        <w:rPr>
          <w:cs/>
        </w:rPr>
        <w:t>‎</w:t>
      </w:r>
      <w:r>
        <w:t xml:space="preserve">1.1.2 and </w:t>
      </w:r>
      <w:r>
        <w:rPr>
          <w:cs/>
        </w:rPr>
        <w:t>‎</w:t>
      </w:r>
      <w:r>
        <w:t>1.1.1, the Supplier agrees that it shall not assign any person to the provision of the Services who is not listed on the Supplier’s Provisional Supplier Personnel List and shall, unless otherwise instructed by the Buyer (acting reasonably):</w:t>
      </w:r>
    </w:p>
    <w:p w14:paraId="0383866D" w14:textId="77777777" w:rsidR="00745227" w:rsidRDefault="00604F6D">
      <w:pPr>
        <w:pStyle w:val="Standard"/>
        <w:numPr>
          <w:ilvl w:val="2"/>
          <w:numId w:val="73"/>
        </w:numPr>
        <w:spacing w:after="240"/>
        <w:ind w:left="1985" w:hanging="851"/>
      </w:pPr>
      <w: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67C8B02E" w14:textId="77777777" w:rsidR="00745227" w:rsidRDefault="00604F6D">
      <w:pPr>
        <w:pStyle w:val="Standard"/>
        <w:numPr>
          <w:ilvl w:val="2"/>
          <w:numId w:val="73"/>
        </w:numPr>
        <w:spacing w:after="240"/>
        <w:ind w:left="1985" w:hanging="851"/>
      </w:pPr>
      <w:r>
        <w:t>not make, promise, propose, permit or implement any material changes to the terms and conditions of (</w:t>
      </w:r>
      <w:proofErr w:type="spellStart"/>
      <w:r>
        <w:t>i</w:t>
      </w:r>
      <w:proofErr w:type="spellEnd"/>
      <w:r>
        <w:t xml:space="preserve">) employment and/or (ii) pensions, retirement and death benefits (including not to make pensionable any </w:t>
      </w:r>
      <w:r>
        <w:lastRenderedPageBreak/>
        <w:t xml:space="preserve">category of earnings which were not previously pensionable or reduce the pension contributions payable) of the Supplier Personnel (including any payments connected with the termination of employment); </w:t>
      </w:r>
    </w:p>
    <w:p w14:paraId="191BB17A" w14:textId="77777777" w:rsidR="00745227" w:rsidRDefault="00604F6D">
      <w:pPr>
        <w:pStyle w:val="Standard"/>
        <w:numPr>
          <w:ilvl w:val="2"/>
          <w:numId w:val="73"/>
        </w:numPr>
        <w:spacing w:after="240"/>
        <w:ind w:left="1985" w:hanging="851"/>
      </w:pPr>
      <w:r>
        <w:t>not increase the proportion of working time spent on the Services (or the relevant part of the Services) by any of the Supplier Personnel save for fulfilling assignments and projects previously scheduled and agreed;</w:t>
      </w:r>
    </w:p>
    <w:p w14:paraId="567443DA" w14:textId="77777777" w:rsidR="00745227" w:rsidRDefault="00604F6D">
      <w:pPr>
        <w:pStyle w:val="Standard"/>
        <w:numPr>
          <w:ilvl w:val="2"/>
          <w:numId w:val="73"/>
        </w:numPr>
        <w:spacing w:after="240"/>
        <w:ind w:left="1985" w:hanging="851"/>
      </w:pPr>
      <w:r>
        <w:t>not introduce any new contractual or customary practice concerning the making of any lump sum payment on the termination of employment of any employees listed on the Supplier's Provisional Supplier Personnel List;</w:t>
      </w:r>
    </w:p>
    <w:p w14:paraId="455BD451" w14:textId="77777777" w:rsidR="00745227" w:rsidRDefault="00604F6D">
      <w:pPr>
        <w:pStyle w:val="Standard"/>
        <w:numPr>
          <w:ilvl w:val="2"/>
          <w:numId w:val="73"/>
        </w:numPr>
        <w:spacing w:after="240"/>
        <w:ind w:left="1985" w:hanging="851"/>
      </w:pPr>
      <w:r>
        <w:t>not increase or reduce the total number of employees so engaged, or deploy any other person to perform the Services (or the relevant part of the Services);</w:t>
      </w:r>
    </w:p>
    <w:p w14:paraId="6EED0442" w14:textId="77777777" w:rsidR="00745227" w:rsidRDefault="00604F6D">
      <w:pPr>
        <w:pStyle w:val="Standard"/>
        <w:numPr>
          <w:ilvl w:val="2"/>
          <w:numId w:val="73"/>
        </w:numPr>
        <w:spacing w:after="240"/>
        <w:ind w:left="1985" w:hanging="851"/>
      </w:pPr>
      <w:r>
        <w:t>not terminate or give notice to terminate the employment or contracts of any persons on the Supplier's Provisional Supplier Personnel List save by due disciplinary process;</w:t>
      </w:r>
    </w:p>
    <w:p w14:paraId="15C95A34" w14:textId="77777777" w:rsidR="00745227" w:rsidRDefault="00604F6D">
      <w:pPr>
        <w:pStyle w:val="Standard"/>
        <w:numPr>
          <w:ilvl w:val="2"/>
          <w:numId w:val="73"/>
        </w:numPr>
        <w:spacing w:after="240"/>
        <w:ind w:left="1985" w:hanging="851"/>
      </w:pPr>
      <w:r>
        <w:t>not dissuade or discourage any employees engaged in the provision of the Services from transferring their employment to the Buyer and/or the Replacement Supplier and/or Replacement Sub-contractor;</w:t>
      </w:r>
    </w:p>
    <w:p w14:paraId="68964B0A" w14:textId="77777777" w:rsidR="00745227" w:rsidRDefault="00604F6D">
      <w:pPr>
        <w:pStyle w:val="Standard"/>
        <w:numPr>
          <w:ilvl w:val="2"/>
          <w:numId w:val="73"/>
        </w:numPr>
        <w:spacing w:after="240"/>
        <w:ind w:left="1985" w:hanging="851"/>
      </w:pPr>
      <w: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8C9A9C7" w14:textId="77777777" w:rsidR="00745227" w:rsidRDefault="00604F6D">
      <w:pPr>
        <w:pStyle w:val="Standard"/>
        <w:numPr>
          <w:ilvl w:val="2"/>
          <w:numId w:val="73"/>
        </w:numPr>
        <w:spacing w:after="240"/>
        <w:ind w:left="1985" w:hanging="851"/>
      </w:pPr>
      <w: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B832DC2" w14:textId="77777777" w:rsidR="00745227" w:rsidRDefault="00604F6D">
      <w:pPr>
        <w:pStyle w:val="Standard"/>
        <w:numPr>
          <w:ilvl w:val="2"/>
          <w:numId w:val="73"/>
        </w:numPr>
        <w:spacing w:after="240"/>
        <w:ind w:left="1985" w:hanging="851"/>
      </w:pPr>
      <w: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127F25A0" w14:textId="77777777" w:rsidR="00745227" w:rsidRDefault="00604F6D">
      <w:pPr>
        <w:pStyle w:val="Standard"/>
        <w:numPr>
          <w:ilvl w:val="2"/>
          <w:numId w:val="73"/>
        </w:numPr>
        <w:spacing w:after="240"/>
        <w:ind w:left="1985" w:hanging="851"/>
      </w:pPr>
      <w: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32D31CCE" w14:textId="77777777" w:rsidR="00745227" w:rsidRDefault="00604F6D">
      <w:pPr>
        <w:pStyle w:val="Standard"/>
        <w:numPr>
          <w:ilvl w:val="2"/>
          <w:numId w:val="73"/>
        </w:numPr>
        <w:spacing w:after="240"/>
        <w:ind w:left="1985" w:hanging="851"/>
      </w:pPr>
      <w:r>
        <w:t xml:space="preserve">not to adversely affect pension rights accrued by all and any Fair Deal Employees in the period ending on the Service Transfer Date; </w:t>
      </w:r>
    </w:p>
    <w:p w14:paraId="6804CEB8" w14:textId="77777777" w:rsidR="00745227" w:rsidRDefault="00604F6D">
      <w:pPr>
        <w:pStyle w:val="Standard"/>
        <w:numPr>
          <w:ilvl w:val="2"/>
          <w:numId w:val="73"/>
        </w:numPr>
        <w:spacing w:after="240"/>
        <w:ind w:left="1985" w:hanging="851"/>
      </w:pPr>
      <w:r>
        <w:lastRenderedPageBreak/>
        <w:t>fully fund any Broadly Comparable pension schemes set up by the Supplier;</w:t>
      </w:r>
    </w:p>
    <w:p w14:paraId="1B7B586A" w14:textId="77777777" w:rsidR="00745227" w:rsidRDefault="00604F6D">
      <w:pPr>
        <w:pStyle w:val="Standard"/>
        <w:numPr>
          <w:ilvl w:val="2"/>
          <w:numId w:val="73"/>
        </w:numPr>
        <w:spacing w:after="240"/>
        <w:ind w:left="1985" w:hanging="851"/>
      </w:pPr>
      <w: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65FB9FBD" w14:textId="77777777" w:rsidR="00745227" w:rsidRDefault="00604F6D">
      <w:pPr>
        <w:pStyle w:val="Standard"/>
        <w:numPr>
          <w:ilvl w:val="2"/>
          <w:numId w:val="73"/>
        </w:numPr>
        <w:spacing w:after="240"/>
        <w:ind w:left="1985" w:hanging="851"/>
      </w:pPr>
      <w:r>
        <w:t xml:space="preserve">promptly provide to the Buyer such documents and information mentioned in Paragraph </w:t>
      </w:r>
      <w:r>
        <w:rPr>
          <w:cs/>
        </w:rPr>
        <w:t>‎</w:t>
      </w:r>
      <w:r>
        <w:t>3.1.1 of Part D: Pensions which the Buyer may reasonably request in advance of the expiry or termination of this Contract; and</w:t>
      </w:r>
    </w:p>
    <w:p w14:paraId="012C0F93" w14:textId="77777777" w:rsidR="00745227" w:rsidRDefault="00604F6D">
      <w:pPr>
        <w:pStyle w:val="Standard"/>
        <w:numPr>
          <w:ilvl w:val="2"/>
          <w:numId w:val="73"/>
        </w:numPr>
        <w:spacing w:after="240"/>
        <w:ind w:left="1985" w:hanging="851"/>
      </w:pPr>
      <w: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125E1BD3" w14:textId="77777777" w:rsidR="00745227" w:rsidRDefault="00604F6D">
      <w:pPr>
        <w:pStyle w:val="Standard"/>
        <w:numPr>
          <w:ilvl w:val="1"/>
          <w:numId w:val="73"/>
        </w:numPr>
        <w:spacing w:after="240"/>
        <w:ind w:left="1134" w:hanging="567"/>
      </w:pPr>
      <w: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3F5E2194" w14:textId="77777777" w:rsidR="00745227" w:rsidRDefault="00604F6D">
      <w:pPr>
        <w:pStyle w:val="Standard"/>
        <w:numPr>
          <w:ilvl w:val="2"/>
          <w:numId w:val="73"/>
        </w:numPr>
        <w:spacing w:after="240"/>
        <w:ind w:left="1985" w:hanging="851"/>
      </w:pPr>
      <w:r>
        <w:t>the numbers of employees engaged in providing the Services;</w:t>
      </w:r>
    </w:p>
    <w:p w14:paraId="193B0B63" w14:textId="77777777" w:rsidR="00745227" w:rsidRDefault="00604F6D">
      <w:pPr>
        <w:pStyle w:val="Standard"/>
        <w:numPr>
          <w:ilvl w:val="2"/>
          <w:numId w:val="73"/>
        </w:numPr>
        <w:spacing w:after="240"/>
        <w:ind w:left="1985" w:hanging="851"/>
      </w:pPr>
      <w:r>
        <w:t>the percentage of time spent by each employee engaged in providing the Services;</w:t>
      </w:r>
    </w:p>
    <w:p w14:paraId="0930A43E" w14:textId="77777777" w:rsidR="00745227" w:rsidRDefault="00604F6D">
      <w:pPr>
        <w:pStyle w:val="Standard"/>
        <w:numPr>
          <w:ilvl w:val="2"/>
          <w:numId w:val="73"/>
        </w:numPr>
        <w:spacing w:after="240"/>
        <w:ind w:left="1985" w:hanging="851"/>
      </w:pPr>
      <w:r>
        <w:t>the extent to which each employee qualifies for membership of any of the Fair Deal Schemes (as defined in Part D: Pensions); and</w:t>
      </w:r>
    </w:p>
    <w:p w14:paraId="2A1998BF" w14:textId="77777777" w:rsidR="00745227" w:rsidRDefault="00604F6D">
      <w:pPr>
        <w:pStyle w:val="Standard"/>
        <w:numPr>
          <w:ilvl w:val="2"/>
          <w:numId w:val="73"/>
        </w:numPr>
        <w:spacing w:after="240"/>
        <w:ind w:left="1985" w:hanging="851"/>
      </w:pPr>
      <w:r>
        <w:t>a description of the nature of the work undertaken by each employee by location.</w:t>
      </w:r>
    </w:p>
    <w:p w14:paraId="33059009" w14:textId="77777777" w:rsidR="00745227" w:rsidRDefault="00604F6D">
      <w:pPr>
        <w:pStyle w:val="Standard"/>
        <w:numPr>
          <w:ilvl w:val="1"/>
          <w:numId w:val="73"/>
        </w:numPr>
        <w:spacing w:after="240"/>
        <w:ind w:left="1134" w:hanging="567"/>
      </w:pPr>
      <w:r>
        <w:t>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77736908" w14:textId="77777777" w:rsidR="00745227" w:rsidRDefault="00604F6D">
      <w:pPr>
        <w:pStyle w:val="Standard"/>
        <w:numPr>
          <w:ilvl w:val="2"/>
          <w:numId w:val="73"/>
        </w:numPr>
        <w:spacing w:after="240"/>
        <w:ind w:left="1985" w:hanging="851"/>
      </w:pPr>
      <w:r>
        <w:t xml:space="preserve">the most recent month's copy </w:t>
      </w:r>
      <w:proofErr w:type="gramStart"/>
      <w:r>
        <w:t>pay</w:t>
      </w:r>
      <w:proofErr w:type="gramEnd"/>
      <w:r>
        <w:t xml:space="preserve"> slip data;</w:t>
      </w:r>
    </w:p>
    <w:p w14:paraId="219147DA" w14:textId="77777777" w:rsidR="00745227" w:rsidRDefault="00604F6D">
      <w:pPr>
        <w:pStyle w:val="Standard"/>
        <w:numPr>
          <w:ilvl w:val="2"/>
          <w:numId w:val="73"/>
        </w:numPr>
        <w:spacing w:after="240"/>
        <w:ind w:left="1985" w:hanging="851"/>
      </w:pPr>
      <w:r>
        <w:t>details of cumulative pay for tax and pension purposes;</w:t>
      </w:r>
    </w:p>
    <w:p w14:paraId="5D7E380E" w14:textId="77777777" w:rsidR="00745227" w:rsidRDefault="00604F6D">
      <w:pPr>
        <w:pStyle w:val="Standard"/>
        <w:numPr>
          <w:ilvl w:val="2"/>
          <w:numId w:val="73"/>
        </w:numPr>
        <w:spacing w:after="240"/>
        <w:ind w:left="1985" w:hanging="851"/>
      </w:pPr>
      <w:r>
        <w:lastRenderedPageBreak/>
        <w:t>details of cumulative tax paid;</w:t>
      </w:r>
    </w:p>
    <w:p w14:paraId="4E396453" w14:textId="77777777" w:rsidR="00745227" w:rsidRDefault="00604F6D">
      <w:pPr>
        <w:pStyle w:val="Standard"/>
        <w:numPr>
          <w:ilvl w:val="2"/>
          <w:numId w:val="73"/>
        </w:numPr>
        <w:spacing w:after="240"/>
        <w:ind w:left="1985" w:hanging="851"/>
      </w:pPr>
      <w:r>
        <w:t>tax code;</w:t>
      </w:r>
    </w:p>
    <w:p w14:paraId="0ACAABEE" w14:textId="77777777" w:rsidR="00745227" w:rsidRDefault="00604F6D">
      <w:pPr>
        <w:pStyle w:val="Standard"/>
        <w:numPr>
          <w:ilvl w:val="2"/>
          <w:numId w:val="73"/>
        </w:numPr>
        <w:spacing w:after="240"/>
        <w:ind w:left="1985" w:hanging="851"/>
      </w:pPr>
      <w:r>
        <w:tab/>
        <w:t>details of any voluntary deductions from pay; and</w:t>
      </w:r>
    </w:p>
    <w:p w14:paraId="1C3292E5" w14:textId="77777777" w:rsidR="00745227" w:rsidRDefault="00604F6D">
      <w:pPr>
        <w:pStyle w:val="Standard"/>
        <w:numPr>
          <w:ilvl w:val="2"/>
          <w:numId w:val="73"/>
        </w:numPr>
        <w:spacing w:after="240"/>
        <w:ind w:left="1985" w:hanging="851"/>
      </w:pPr>
      <w:r>
        <w:t>bank/building society account details for payroll purposes.</w:t>
      </w:r>
    </w:p>
    <w:p w14:paraId="5B3A0EF7" w14:textId="77777777" w:rsidR="00745227" w:rsidRDefault="00604F6D">
      <w:pPr>
        <w:pStyle w:val="Heading3"/>
        <w:numPr>
          <w:ilvl w:val="0"/>
          <w:numId w:val="73"/>
        </w:numPr>
        <w:ind w:left="567" w:hanging="567"/>
      </w:pPr>
      <w:bookmarkStart w:id="55" w:name="_Toc83731485"/>
      <w:r>
        <w:t>Staff Transfer when the contract ends</w:t>
      </w:r>
      <w:bookmarkEnd w:id="55"/>
    </w:p>
    <w:p w14:paraId="5D5D0746" w14:textId="77777777" w:rsidR="00745227" w:rsidRDefault="00604F6D">
      <w:pPr>
        <w:pStyle w:val="Standard"/>
        <w:numPr>
          <w:ilvl w:val="1"/>
          <w:numId w:val="73"/>
        </w:numPr>
        <w:spacing w:after="240"/>
        <w:ind w:left="1134" w:hanging="567"/>
      </w:pPr>
      <w: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ECF7B2" w14:textId="77777777" w:rsidR="00745227" w:rsidRDefault="00604F6D">
      <w:pPr>
        <w:pStyle w:val="Standard"/>
        <w:numPr>
          <w:ilvl w:val="1"/>
          <w:numId w:val="73"/>
        </w:numPr>
        <w:spacing w:after="240"/>
        <w:ind w:left="1134" w:hanging="567"/>
      </w:pPr>
      <w:r>
        <w:t>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w:t>
      </w:r>
    </w:p>
    <w:p w14:paraId="21E75DC1" w14:textId="77777777" w:rsidR="00745227" w:rsidRDefault="00604F6D">
      <w:pPr>
        <w:pStyle w:val="Standard"/>
        <w:numPr>
          <w:ilvl w:val="1"/>
          <w:numId w:val="73"/>
        </w:numPr>
        <w:spacing w:after="240"/>
        <w:ind w:left="1134" w:hanging="567"/>
      </w:pPr>
      <w:r>
        <w:t xml:space="preserve">Subject to Paragraph </w:t>
      </w:r>
      <w:r>
        <w:rPr>
          <w:cs/>
        </w:rPr>
        <w:t>‎</w:t>
      </w:r>
      <w:r>
        <w:t>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440472C8" w14:textId="77777777" w:rsidR="00745227" w:rsidRDefault="00604F6D">
      <w:pPr>
        <w:pStyle w:val="Standard"/>
        <w:numPr>
          <w:ilvl w:val="1"/>
          <w:numId w:val="73"/>
        </w:numPr>
        <w:spacing w:after="240"/>
        <w:ind w:left="1134" w:hanging="567"/>
      </w:pPr>
      <w:r>
        <w:t xml:space="preserve">The indemnity in Paragraph </w:t>
      </w:r>
      <w:r>
        <w:rPr>
          <w:cs/>
        </w:rPr>
        <w:t>‎</w:t>
      </w:r>
      <w:r>
        <w:t xml:space="preserve">2.3 shall not apply to the extent that the Employee Liabilities arise or are attributable to an act or omission of the Replacement Supplier and/or any Replacement Sub-contractor whether occurring or having its origin before, on or after the Service Transfer Date. </w:t>
      </w:r>
    </w:p>
    <w:p w14:paraId="79B428F0" w14:textId="77777777" w:rsidR="00745227" w:rsidRDefault="00604F6D">
      <w:pPr>
        <w:pStyle w:val="Standard"/>
        <w:numPr>
          <w:ilvl w:val="1"/>
          <w:numId w:val="73"/>
        </w:numPr>
        <w:spacing w:after="240"/>
        <w:ind w:left="1134" w:hanging="567"/>
      </w:pPr>
      <w:r>
        <w:t xml:space="preserve">Subject to Paragraphs </w:t>
      </w:r>
      <w:r>
        <w:rPr>
          <w:cs/>
        </w:rPr>
        <w:t>‎</w:t>
      </w:r>
      <w:r>
        <w:t xml:space="preserve">2.6 and </w:t>
      </w:r>
      <w:r>
        <w:rPr>
          <w:cs/>
        </w:rPr>
        <w:t>‎</w:t>
      </w:r>
      <w:r>
        <w:t>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14:paraId="0F936791" w14:textId="77777777" w:rsidR="00745227" w:rsidRDefault="00604F6D">
      <w:pPr>
        <w:pStyle w:val="Standard"/>
        <w:numPr>
          <w:ilvl w:val="2"/>
          <w:numId w:val="73"/>
        </w:numPr>
        <w:spacing w:after="240"/>
        <w:ind w:left="1985" w:hanging="851"/>
      </w:pPr>
      <w:r>
        <w:t>the Replacement Supplier and/or Replacement Sub-contractor will, within 5 Working Days of becoming aware of that fact, notify the Buyer and the Supplier in writing;</w:t>
      </w:r>
    </w:p>
    <w:p w14:paraId="24F8DA34" w14:textId="77777777" w:rsidR="00745227" w:rsidRDefault="00604F6D">
      <w:pPr>
        <w:pStyle w:val="Standard"/>
        <w:numPr>
          <w:ilvl w:val="2"/>
          <w:numId w:val="73"/>
        </w:numPr>
        <w:spacing w:after="240"/>
        <w:ind w:left="1985" w:hanging="851"/>
      </w:pPr>
      <w:r>
        <w:t xml:space="preserve">the Supplier may offer employment to such person, or take such other steps as it considered appropriate to resolve the matter, within 10 </w:t>
      </w:r>
      <w:r>
        <w:lastRenderedPageBreak/>
        <w:t>Working Days of receipt of notice from the Replacement Supplier and/or Replacement Sub-contractor;</w:t>
      </w:r>
    </w:p>
    <w:p w14:paraId="79D7BD07" w14:textId="77777777" w:rsidR="00745227" w:rsidRDefault="00604F6D">
      <w:pPr>
        <w:pStyle w:val="Standard"/>
        <w:numPr>
          <w:ilvl w:val="2"/>
          <w:numId w:val="73"/>
        </w:numPr>
        <w:spacing w:after="240"/>
        <w:ind w:left="1985" w:hanging="851"/>
      </w:pPr>
      <w:r>
        <w:t>if such offer of employment is accepted, the Replacement Supplier and/or Replacement Sub-contractor shall immediately release the person from its employment;</w:t>
      </w:r>
    </w:p>
    <w:p w14:paraId="647BA1F6" w14:textId="77777777" w:rsidR="00745227" w:rsidRDefault="00604F6D">
      <w:pPr>
        <w:pStyle w:val="Standard"/>
        <w:numPr>
          <w:ilvl w:val="2"/>
          <w:numId w:val="73"/>
        </w:numPr>
        <w:spacing w:after="240"/>
        <w:ind w:left="1985" w:hanging="851"/>
      </w:pPr>
      <w:r>
        <w:t xml:space="preserve">if after the period referred to in Paragraph </w:t>
      </w:r>
      <w:r>
        <w:rPr>
          <w:cs/>
        </w:rPr>
        <w:t>‎</w:t>
      </w:r>
      <w:r>
        <w:t>2.5.2 no such offer has been made, or such offer has been made but not accepted, the Replacement Supplier and/or Replacement Sub-contractor may within 5 Working Days give notice to terminate the employment of such person;</w:t>
      </w:r>
    </w:p>
    <w:p w14:paraId="76015446" w14:textId="77777777" w:rsidR="00745227" w:rsidRDefault="00604F6D">
      <w:pPr>
        <w:pStyle w:val="Standard"/>
        <w:numPr>
          <w:ilvl w:val="2"/>
          <w:numId w:val="73"/>
        </w:numPr>
        <w:spacing w:after="240"/>
        <w:ind w:left="1985" w:hanging="851"/>
      </w:pPr>
      <w:r>
        <w:t xml:space="preserve">and subject to the Replacement Supplier's and/or Replacement Sub-contractor's compliance with Paragraphs </w:t>
      </w:r>
      <w:r>
        <w:rPr>
          <w:cs/>
        </w:rPr>
        <w:t>‎</w:t>
      </w:r>
      <w:r>
        <w:t xml:space="preserve">2.5.1 to </w:t>
      </w:r>
      <w:r>
        <w:rPr>
          <w:cs/>
        </w:rPr>
        <w:t>‎</w:t>
      </w:r>
      <w:r>
        <w:t xml:space="preserve">2.5.4 the Supplier will indemnify the Replacement Supplier and/or Replacement Sub-contractor against all Employee Liabilities arising out of the termination of the employment of any of the Supplier’s employees referred to in Paragraph </w:t>
      </w:r>
      <w:r>
        <w:rPr>
          <w:cs/>
        </w:rPr>
        <w:t>‎</w:t>
      </w:r>
      <w:r>
        <w:t xml:space="preserve">2.5. </w:t>
      </w:r>
    </w:p>
    <w:p w14:paraId="2C0AEF93" w14:textId="77777777" w:rsidR="00745227" w:rsidRDefault="00604F6D">
      <w:pPr>
        <w:pStyle w:val="Standard"/>
        <w:numPr>
          <w:ilvl w:val="1"/>
          <w:numId w:val="73"/>
        </w:numPr>
        <w:spacing w:after="240"/>
        <w:ind w:left="1134" w:hanging="567"/>
      </w:pPr>
      <w:r>
        <w:t xml:space="preserve">The indemnity in Paragraph </w:t>
      </w:r>
      <w:r>
        <w:rPr>
          <w:cs/>
        </w:rPr>
        <w:t>‎</w:t>
      </w:r>
      <w:r>
        <w:t>2.5 shall not apply to:</w:t>
      </w:r>
    </w:p>
    <w:p w14:paraId="3A95B4D7" w14:textId="77777777" w:rsidR="00745227" w:rsidRDefault="00604F6D">
      <w:pPr>
        <w:pStyle w:val="Standard"/>
        <w:numPr>
          <w:ilvl w:val="2"/>
          <w:numId w:val="73"/>
        </w:numPr>
        <w:spacing w:after="240"/>
        <w:ind w:left="1985" w:hanging="851"/>
      </w:pPr>
      <w:r>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14:paraId="1C477F2A" w14:textId="77777777" w:rsidR="00745227" w:rsidRDefault="00604F6D">
      <w:pPr>
        <w:pStyle w:val="Standard"/>
        <w:numPr>
          <w:ilvl w:val="2"/>
          <w:numId w:val="73"/>
        </w:numPr>
        <w:spacing w:after="240"/>
        <w:ind w:left="1985" w:hanging="851"/>
      </w:pPr>
      <w:r>
        <w:t>any claim that the termination of employment was unfair because the Replacement Supplier and/or Replacement Sub-contractor neglected to follow a fair dismissal procedure.</w:t>
      </w:r>
    </w:p>
    <w:p w14:paraId="7DE626AD" w14:textId="77777777" w:rsidR="00745227" w:rsidRDefault="00604F6D">
      <w:pPr>
        <w:pStyle w:val="Standard"/>
        <w:numPr>
          <w:ilvl w:val="1"/>
          <w:numId w:val="73"/>
        </w:numPr>
        <w:spacing w:after="240"/>
        <w:ind w:left="1134" w:hanging="567"/>
      </w:pPr>
      <w:r>
        <w:t xml:space="preserve">The indemnity in Paragraph </w:t>
      </w:r>
      <w:r>
        <w:rPr>
          <w:cs/>
        </w:rPr>
        <w:t>‎</w:t>
      </w:r>
      <w:r>
        <w:t>2.5 shall not apply to any termination of employment occurring later than 3 Months from the Service Transfer Date.</w:t>
      </w:r>
    </w:p>
    <w:p w14:paraId="0166B270" w14:textId="77777777" w:rsidR="00745227" w:rsidRDefault="00604F6D">
      <w:pPr>
        <w:pStyle w:val="Standard"/>
        <w:numPr>
          <w:ilvl w:val="1"/>
          <w:numId w:val="73"/>
        </w:numPr>
        <w:spacing w:after="240"/>
        <w:ind w:left="1134" w:hanging="567"/>
      </w:pPr>
      <w:r>
        <w:t xml:space="preserve">If at any point the Replacement Supplier and/or Replacement Sub-contract accepts the employment of any such person as is described in Paragraph </w:t>
      </w:r>
      <w:r>
        <w:rPr>
          <w:cs/>
        </w:rPr>
        <w:t>‎</w:t>
      </w:r>
      <w:r>
        <w:t xml:space="preserve">2.5, such person shall be treated as a Transferring Supplier Employee and Paragraph </w:t>
      </w:r>
      <w:r>
        <w:rPr>
          <w:cs/>
        </w:rPr>
        <w:t>‎</w:t>
      </w:r>
      <w:r>
        <w:t>2.5 shall cease to apply to such person.</w:t>
      </w:r>
    </w:p>
    <w:p w14:paraId="5BD82244" w14:textId="77777777" w:rsidR="00745227" w:rsidRDefault="00604F6D">
      <w:pPr>
        <w:pStyle w:val="Standard"/>
        <w:numPr>
          <w:ilvl w:val="1"/>
          <w:numId w:val="73"/>
        </w:numPr>
        <w:spacing w:after="240"/>
        <w:ind w:left="1134" w:hanging="567"/>
      </w:pPr>
      <w: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DA771A9" w14:textId="77777777" w:rsidR="00745227" w:rsidRDefault="00604F6D">
      <w:pPr>
        <w:pStyle w:val="Standard"/>
        <w:numPr>
          <w:ilvl w:val="1"/>
          <w:numId w:val="73"/>
        </w:numPr>
        <w:spacing w:after="240"/>
        <w:ind w:left="1134" w:hanging="567"/>
      </w:pPr>
      <w:r>
        <w:t xml:space="preserve">Subject to Paragraph </w:t>
      </w:r>
      <w:r>
        <w:rPr>
          <w:cs/>
        </w:rPr>
        <w:t>‎</w:t>
      </w:r>
      <w:r>
        <w:t xml:space="preserve">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w:t>
      </w:r>
      <w:r>
        <w:lastRenderedPageBreak/>
        <w:t>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6BC00EFF" w14:textId="77777777" w:rsidR="00745227" w:rsidRDefault="00604F6D">
      <w:pPr>
        <w:pStyle w:val="Standard"/>
        <w:numPr>
          <w:ilvl w:val="1"/>
          <w:numId w:val="73"/>
        </w:numPr>
        <w:spacing w:after="240"/>
        <w:ind w:left="1134" w:hanging="567"/>
      </w:pPr>
      <w:r>
        <w:t xml:space="preserve">The indemnity in Paragraph </w:t>
      </w:r>
      <w:r>
        <w:rPr>
          <w:cs/>
        </w:rPr>
        <w:t>‎</w:t>
      </w:r>
      <w:r>
        <w:t xml:space="preserve">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Pr>
          <w:cs/>
        </w:rPr>
        <w:t>‎</w:t>
      </w:r>
      <w:r>
        <w:t xml:space="preserve">2.5 (and subject to the limitations set out in Paragraphs </w:t>
      </w:r>
      <w:r>
        <w:rPr>
          <w:cs/>
        </w:rPr>
        <w:t>‎</w:t>
      </w:r>
      <w:r>
        <w:t xml:space="preserve">2.6 and </w:t>
      </w:r>
      <w:r>
        <w:rPr>
          <w:cs/>
        </w:rPr>
        <w:t>‎</w:t>
      </w:r>
      <w:r>
        <w:t>2.7 above).</w:t>
      </w:r>
    </w:p>
    <w:p w14:paraId="420C4C17" w14:textId="77777777" w:rsidR="00745227" w:rsidRDefault="00745227">
      <w:pPr>
        <w:pStyle w:val="Standard"/>
        <w:spacing w:after="240"/>
      </w:pPr>
    </w:p>
    <w:sectPr w:rsidR="00745227">
      <w:headerReference w:type="default" r:id="rId7"/>
      <w:footerReference w:type="default" r:id="rId8"/>
      <w:headerReference w:type="first" r:id="rId9"/>
      <w:footerReference w:type="first" r:id="rId10"/>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341E9" w14:textId="77777777" w:rsidR="00604F6D" w:rsidRDefault="00604F6D">
      <w:r>
        <w:separator/>
      </w:r>
    </w:p>
  </w:endnote>
  <w:endnote w:type="continuationSeparator" w:id="0">
    <w:p w14:paraId="3A3F222B" w14:textId="77777777" w:rsidR="00604F6D" w:rsidRDefault="0060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50D1D" w14:textId="77777777" w:rsidR="00E932CC" w:rsidRDefault="00604F6D">
    <w:pPr>
      <w:tabs>
        <w:tab w:val="center" w:pos="4513"/>
        <w:tab w:val="right" w:pos="9026"/>
      </w:tabs>
      <w:rPr>
        <w:sz w:val="20"/>
      </w:rPr>
    </w:pPr>
    <w:r>
      <w:rPr>
        <w:sz w:val="20"/>
      </w:rPr>
      <w:t>Call Off Ref: CCNE23A03</w:t>
    </w:r>
  </w:p>
  <w:p w14:paraId="662507C5" w14:textId="77777777" w:rsidR="00E932CC" w:rsidRDefault="00604F6D">
    <w:pPr>
      <w:pStyle w:val="Footer"/>
    </w:pPr>
    <w:r>
      <w:rPr>
        <w:sz w:val="20"/>
      </w:rPr>
      <w:t>Project Version: v1.0</w:t>
    </w:r>
    <w:r>
      <w:rPr>
        <w:sz w:val="20"/>
      </w:rPr>
      <w:tab/>
    </w:r>
    <w:r>
      <w:rPr>
        <w:sz w:val="20"/>
      </w:rPr>
      <w:tab/>
      <w:t xml:space="preserve"> </w:t>
    </w:r>
    <w:r>
      <w:rPr>
        <w:sz w:val="20"/>
      </w:rPr>
      <w:fldChar w:fldCharType="begin"/>
    </w:r>
    <w:r>
      <w:rPr>
        <w:sz w:val="20"/>
      </w:rPr>
      <w:instrText xml:space="preserve"> PAGE </w:instrText>
    </w:r>
    <w:r>
      <w:rPr>
        <w:sz w:val="20"/>
      </w:rPr>
      <w:fldChar w:fldCharType="separate"/>
    </w:r>
    <w:r>
      <w:rPr>
        <w:sz w:val="20"/>
      </w:rPr>
      <w:t>20</w:t>
    </w:r>
    <w:r>
      <w:rPr>
        <w:sz w:val="20"/>
      </w:rPr>
      <w:fldChar w:fldCharType="end"/>
    </w:r>
  </w:p>
  <w:p w14:paraId="35A802AF" w14:textId="77777777" w:rsidR="00E932CC" w:rsidRDefault="00604F6D">
    <w:r>
      <w:rPr>
        <w:sz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1929" w14:textId="77777777" w:rsidR="00E932CC" w:rsidRDefault="00604F6D">
    <w:pPr>
      <w:tabs>
        <w:tab w:val="center" w:pos="4513"/>
        <w:tab w:val="right" w:pos="9026"/>
      </w:tabs>
      <w:rPr>
        <w:sz w:val="20"/>
        <w:szCs w:val="20"/>
      </w:rPr>
    </w:pPr>
    <w:r>
      <w:rPr>
        <w:sz w:val="20"/>
        <w:szCs w:val="20"/>
      </w:rPr>
      <w:t xml:space="preserve">Framework Ref: RM3808 </w:t>
    </w:r>
  </w:p>
  <w:p w14:paraId="361104F9" w14:textId="77777777" w:rsidR="00E932CC" w:rsidRDefault="00604F6D">
    <w:pPr>
      <w:tabs>
        <w:tab w:val="center" w:pos="4513"/>
        <w:tab w:val="right" w:pos="9026"/>
      </w:tabs>
    </w:pPr>
    <w:r>
      <w:rPr>
        <w:color w:val="000000"/>
        <w:sz w:val="20"/>
        <w:szCs w:val="20"/>
      </w:rPr>
      <w:t>Project Version: v1.0_10 Lots</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 xml:space="preserve"> PAGE </w:instrText>
    </w:r>
    <w:r>
      <w:rPr>
        <w:color w:val="000000"/>
        <w:sz w:val="20"/>
        <w:szCs w:val="20"/>
      </w:rPr>
      <w:fldChar w:fldCharType="separate"/>
    </w:r>
    <w:r>
      <w:rPr>
        <w:color w:val="000000"/>
        <w:sz w:val="20"/>
        <w:szCs w:val="20"/>
      </w:rPr>
      <w:t>1</w:t>
    </w:r>
    <w:r>
      <w:rPr>
        <w:color w:val="000000"/>
        <w:sz w:val="20"/>
        <w:szCs w:val="20"/>
      </w:rPr>
      <w:fldChar w:fldCharType="end"/>
    </w:r>
  </w:p>
  <w:p w14:paraId="45F89E72" w14:textId="77777777" w:rsidR="00E932CC" w:rsidRDefault="00604F6D">
    <w:pPr>
      <w:pStyle w:val="Footer"/>
    </w:pPr>
    <w:r>
      <w:rPr>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66A13" w14:textId="77777777" w:rsidR="00604F6D" w:rsidRDefault="00604F6D">
      <w:r>
        <w:rPr>
          <w:color w:val="000000"/>
        </w:rPr>
        <w:separator/>
      </w:r>
    </w:p>
  </w:footnote>
  <w:footnote w:type="continuationSeparator" w:id="0">
    <w:p w14:paraId="58D32562" w14:textId="77777777" w:rsidR="00604F6D" w:rsidRDefault="0060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A3BA" w14:textId="77777777" w:rsidR="00E932CC" w:rsidRDefault="00604F6D">
    <w:pPr>
      <w:pStyle w:val="Standard"/>
      <w:tabs>
        <w:tab w:val="center" w:pos="4513"/>
        <w:tab w:val="right" w:pos="9026"/>
      </w:tabs>
      <w:spacing w:after="0"/>
      <w:rPr>
        <w:b/>
      </w:rPr>
    </w:pPr>
    <w:r>
      <w:rPr>
        <w:b/>
      </w:rPr>
      <w:t>RM3808 Call-Off Schedule 2 (Staff Transfer)</w:t>
    </w:r>
  </w:p>
  <w:p w14:paraId="0738E759" w14:textId="77777777" w:rsidR="00E932CC" w:rsidRDefault="00604F6D">
    <w:pPr>
      <w:pStyle w:val="Standard"/>
      <w:tabs>
        <w:tab w:val="center" w:pos="4513"/>
        <w:tab w:val="right" w:pos="9026"/>
      </w:tabs>
      <w:spacing w:after="0"/>
    </w:pPr>
    <w:r>
      <w:t>Crown Copyright 2018</w:t>
    </w:r>
  </w:p>
  <w:p w14:paraId="2D0FED77" w14:textId="77777777" w:rsidR="00E932CC" w:rsidRDefault="00216D74">
    <w:pPr>
      <w:pStyle w:val="Standard"/>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0651A" w14:textId="77777777" w:rsidR="00E932CC" w:rsidRDefault="00604F6D">
    <w:pPr>
      <w:pStyle w:val="Header"/>
    </w:pPr>
    <w:r>
      <w:rPr>
        <w:rFonts w:eastAsia="F" w:cs="F"/>
        <w:b/>
        <w:sz w:val="28"/>
        <w:szCs w:val="26"/>
      </w:rPr>
      <w:t>CCNE23A03 Call-Off Schedule 2 – Staff Transfer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D6B"/>
    <w:multiLevelType w:val="multilevel"/>
    <w:tmpl w:val="7708FA7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1" w15:restartNumberingAfterBreak="0">
    <w:nsid w:val="0069742C"/>
    <w:multiLevelType w:val="multilevel"/>
    <w:tmpl w:val="12E2BDCA"/>
    <w:styleLink w:val="WWNum2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 w15:restartNumberingAfterBreak="0">
    <w:nsid w:val="02A110E6"/>
    <w:multiLevelType w:val="multilevel"/>
    <w:tmpl w:val="ECCA958E"/>
    <w:styleLink w:val="WWNum3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 w15:restartNumberingAfterBreak="0">
    <w:nsid w:val="049E5F74"/>
    <w:multiLevelType w:val="multilevel"/>
    <w:tmpl w:val="523061C2"/>
    <w:styleLink w:val="WWNum2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05454F9F"/>
    <w:multiLevelType w:val="multilevel"/>
    <w:tmpl w:val="BA362F0E"/>
    <w:styleLink w:val="LFO9"/>
    <w:lvl w:ilvl="0">
      <w:start w:val="1"/>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6AC158C"/>
    <w:multiLevelType w:val="multilevel"/>
    <w:tmpl w:val="9A2E6792"/>
    <w:styleLink w:val="WWNum1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0BD10F73"/>
    <w:multiLevelType w:val="multilevel"/>
    <w:tmpl w:val="BBF4246E"/>
    <w:styleLink w:val="WWNum4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0D604F41"/>
    <w:multiLevelType w:val="multilevel"/>
    <w:tmpl w:val="71B485D4"/>
    <w:styleLink w:val="WWNum5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11CB41B7"/>
    <w:multiLevelType w:val="multilevel"/>
    <w:tmpl w:val="7AA8E70E"/>
    <w:styleLink w:val="WWNum1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12FB542F"/>
    <w:multiLevelType w:val="multilevel"/>
    <w:tmpl w:val="8A7AF276"/>
    <w:styleLink w:val="WWNum2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134E3905"/>
    <w:multiLevelType w:val="multilevel"/>
    <w:tmpl w:val="4D9EF6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30518E"/>
    <w:multiLevelType w:val="multilevel"/>
    <w:tmpl w:val="D3E48C8A"/>
    <w:styleLink w:val="WWNum3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177A4679"/>
    <w:multiLevelType w:val="multilevel"/>
    <w:tmpl w:val="CA5E1088"/>
    <w:styleLink w:val="WWNum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1C176327"/>
    <w:multiLevelType w:val="multilevel"/>
    <w:tmpl w:val="1CC89F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C907EC3"/>
    <w:multiLevelType w:val="multilevel"/>
    <w:tmpl w:val="B5E6A598"/>
    <w:styleLink w:val="WWNum2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1F0E0F04"/>
    <w:multiLevelType w:val="multilevel"/>
    <w:tmpl w:val="74626A9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04125AB"/>
    <w:multiLevelType w:val="multilevel"/>
    <w:tmpl w:val="9BAA4464"/>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C56991"/>
    <w:multiLevelType w:val="multilevel"/>
    <w:tmpl w:val="793A3584"/>
    <w:styleLink w:val="LFO58"/>
    <w:lvl w:ilvl="0">
      <w:start w:val="1"/>
      <w:numFmt w:val="none"/>
      <w:pStyle w:val="GPSDefinitionL4"/>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21A872C4"/>
    <w:multiLevelType w:val="multilevel"/>
    <w:tmpl w:val="51EE8792"/>
    <w:lvl w:ilvl="0">
      <w:start w:val="1"/>
      <w:numFmt w:val="lowerLetter"/>
      <w:lvlText w:val="%1)"/>
      <w:lvlJc w:val="left"/>
      <w:pPr>
        <w:ind w:left="1080" w:hanging="720"/>
      </w:pPr>
    </w:lvl>
    <w:lvl w:ilvl="1">
      <w:start w:val="1"/>
      <w:numFmt w:val="decimal"/>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32F6C97"/>
    <w:multiLevelType w:val="multilevel"/>
    <w:tmpl w:val="5FF48CD8"/>
    <w:styleLink w:val="WWNum8"/>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 w15:restartNumberingAfterBreak="0">
    <w:nsid w:val="25F55A9A"/>
    <w:multiLevelType w:val="multilevel"/>
    <w:tmpl w:val="1876E922"/>
    <w:styleLink w:val="WWNum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26B244D3"/>
    <w:multiLevelType w:val="multilevel"/>
    <w:tmpl w:val="33D8717A"/>
    <w:styleLink w:val="WWNum3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27720107"/>
    <w:multiLevelType w:val="multilevel"/>
    <w:tmpl w:val="10D0607A"/>
    <w:styleLink w:val="WWNum1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282E145C"/>
    <w:multiLevelType w:val="multilevel"/>
    <w:tmpl w:val="90EE7A7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4" w15:restartNumberingAfterBreak="0">
    <w:nsid w:val="2A9B34E4"/>
    <w:multiLevelType w:val="multilevel"/>
    <w:tmpl w:val="7694AF8E"/>
    <w:styleLink w:val="WWNum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2B324590"/>
    <w:multiLevelType w:val="multilevel"/>
    <w:tmpl w:val="BE52F90C"/>
    <w:styleLink w:val="WWNum2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2CDE0078"/>
    <w:multiLevelType w:val="multilevel"/>
    <w:tmpl w:val="6526C40A"/>
    <w:styleLink w:val="WWNum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321A453A"/>
    <w:multiLevelType w:val="multilevel"/>
    <w:tmpl w:val="1C182510"/>
    <w:styleLink w:val="WWNum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321D33C8"/>
    <w:multiLevelType w:val="multilevel"/>
    <w:tmpl w:val="8E52898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none"/>
      <w:lvlText w:val="%3"/>
      <w:lvlJc w:val="left"/>
      <w:pPr>
        <w:ind w:left="2381" w:hanging="794"/>
      </w:pPr>
    </w:lvl>
    <w:lvl w:ilvl="3">
      <w:start w:val="1"/>
      <w:numFmt w:val="none"/>
      <w:lvlText w:val="%4"/>
      <w:lvlJc w:val="left"/>
      <w:pPr>
        <w:ind w:left="2381" w:hanging="794"/>
      </w:pPr>
    </w:lvl>
    <w:lvl w:ilvl="4">
      <w:start w:val="1"/>
      <w:numFmt w:val="none"/>
      <w:lvlText w:val="%5"/>
      <w:lvlJc w:val="left"/>
      <w:pPr>
        <w:ind w:left="2381" w:hanging="794"/>
      </w:pPr>
    </w:lvl>
    <w:lvl w:ilvl="5">
      <w:start w:val="1"/>
      <w:numFmt w:val="none"/>
      <w:lvlText w:val="%6"/>
      <w:lvlJc w:val="left"/>
      <w:pPr>
        <w:ind w:left="2381" w:hanging="794"/>
      </w:pPr>
    </w:lvl>
    <w:lvl w:ilvl="6">
      <w:start w:val="1"/>
      <w:numFmt w:val="none"/>
      <w:lvlText w:val="%7"/>
      <w:lvlJc w:val="left"/>
      <w:pPr>
        <w:ind w:left="2381" w:hanging="794"/>
      </w:pPr>
    </w:lvl>
    <w:lvl w:ilvl="7">
      <w:start w:val="1"/>
      <w:numFmt w:val="none"/>
      <w:lvlText w:val="%8"/>
      <w:lvlJc w:val="left"/>
      <w:pPr>
        <w:ind w:left="2381" w:hanging="794"/>
      </w:pPr>
    </w:lvl>
    <w:lvl w:ilvl="8">
      <w:start w:val="1"/>
      <w:numFmt w:val="none"/>
      <w:lvlText w:val="%9"/>
      <w:lvlJc w:val="left"/>
      <w:pPr>
        <w:ind w:left="2381" w:hanging="794"/>
      </w:pPr>
    </w:lvl>
  </w:abstractNum>
  <w:abstractNum w:abstractNumId="29" w15:restartNumberingAfterBreak="0">
    <w:nsid w:val="32757C22"/>
    <w:multiLevelType w:val="multilevel"/>
    <w:tmpl w:val="D3DE692E"/>
    <w:styleLink w:val="WWNum2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32A23B63"/>
    <w:multiLevelType w:val="multilevel"/>
    <w:tmpl w:val="25823F8E"/>
    <w:styleLink w:val="WWNum2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37921B81"/>
    <w:multiLevelType w:val="multilevel"/>
    <w:tmpl w:val="A75E667C"/>
    <w:styleLink w:val="LFO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2" w15:restartNumberingAfterBreak="0">
    <w:nsid w:val="3E712893"/>
    <w:multiLevelType w:val="multilevel"/>
    <w:tmpl w:val="90661544"/>
    <w:styleLink w:val="WWNum4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3EE0559B"/>
    <w:multiLevelType w:val="multilevel"/>
    <w:tmpl w:val="B4303084"/>
    <w:styleLink w:val="WWNum4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3EF62C6C"/>
    <w:multiLevelType w:val="multilevel"/>
    <w:tmpl w:val="DEE0C10E"/>
    <w:styleLink w:val="WWNum5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40374E33"/>
    <w:multiLevelType w:val="multilevel"/>
    <w:tmpl w:val="6F962D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DA3060"/>
    <w:multiLevelType w:val="multilevel"/>
    <w:tmpl w:val="0074A60C"/>
    <w:styleLink w:val="WWNum3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410C3E27"/>
    <w:multiLevelType w:val="multilevel"/>
    <w:tmpl w:val="29D2B63A"/>
    <w:styleLink w:val="WWNum3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41F1735E"/>
    <w:multiLevelType w:val="multilevel"/>
    <w:tmpl w:val="71F0649E"/>
    <w:styleLink w:val="WWNum18"/>
    <w:lvl w:ilvl="0">
      <w:start w:val="1"/>
      <w:numFmt w:val="decimal"/>
      <w:lvlText w:val="%1."/>
      <w:lvlJc w:val="right"/>
      <w:pPr>
        <w:ind w:left="566" w:hanging="359"/>
      </w:pPr>
      <w:rPr>
        <w:u w:val="none"/>
      </w:rPr>
    </w:lvl>
    <w:lvl w:ilvl="1">
      <w:start w:val="1"/>
      <w:numFmt w:val="decimal"/>
      <w:lvlText w:val="%1.%2."/>
      <w:lvlJc w:val="right"/>
      <w:pPr>
        <w:ind w:left="850" w:hanging="359"/>
      </w:pPr>
      <w:rPr>
        <w:u w:val="none"/>
      </w:rPr>
    </w:lvl>
    <w:lvl w:ilvl="2">
      <w:start w:val="1"/>
      <w:numFmt w:val="decimal"/>
      <w:lvlText w:val="%1.%2.%3."/>
      <w:lvlJc w:val="right"/>
      <w:pPr>
        <w:ind w:left="1133" w:hanging="359"/>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39" w15:restartNumberingAfterBreak="0">
    <w:nsid w:val="460E39F8"/>
    <w:multiLevelType w:val="multilevel"/>
    <w:tmpl w:val="21F639BE"/>
    <w:styleLink w:val="WWNum3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0" w15:restartNumberingAfterBreak="0">
    <w:nsid w:val="46F72F2A"/>
    <w:multiLevelType w:val="multilevel"/>
    <w:tmpl w:val="201E986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47070D31"/>
    <w:multiLevelType w:val="multilevel"/>
    <w:tmpl w:val="7408F09C"/>
    <w:styleLink w:val="WWNum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2" w15:restartNumberingAfterBreak="0">
    <w:nsid w:val="49D94D71"/>
    <w:multiLevelType w:val="multilevel"/>
    <w:tmpl w:val="3D5C4DF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4A561009"/>
    <w:multiLevelType w:val="multilevel"/>
    <w:tmpl w:val="AD88DD4C"/>
    <w:styleLink w:val="WWNum3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4" w15:restartNumberingAfterBreak="0">
    <w:nsid w:val="4B0A0768"/>
    <w:multiLevelType w:val="multilevel"/>
    <w:tmpl w:val="C804F684"/>
    <w:styleLink w:val="WWNum4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4B7F1429"/>
    <w:multiLevelType w:val="multilevel"/>
    <w:tmpl w:val="3C04E124"/>
    <w:styleLink w:val="WWNum4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6" w15:restartNumberingAfterBreak="0">
    <w:nsid w:val="4BB80861"/>
    <w:multiLevelType w:val="multilevel"/>
    <w:tmpl w:val="45C405AE"/>
    <w:styleLink w:val="WWNum1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7" w15:restartNumberingAfterBreak="0">
    <w:nsid w:val="4DE47520"/>
    <w:multiLevelType w:val="multilevel"/>
    <w:tmpl w:val="3C6425C8"/>
    <w:styleLink w:val="WWNum1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8" w15:restartNumberingAfterBreak="0">
    <w:nsid w:val="51586A6E"/>
    <w:multiLevelType w:val="multilevel"/>
    <w:tmpl w:val="BD34279A"/>
    <w:styleLink w:val="WWNum4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9" w15:restartNumberingAfterBreak="0">
    <w:nsid w:val="519F0218"/>
    <w:multiLevelType w:val="multilevel"/>
    <w:tmpl w:val="F2F43D48"/>
    <w:styleLink w:val="WWNum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51FD1E19"/>
    <w:multiLevelType w:val="multilevel"/>
    <w:tmpl w:val="93C8DB02"/>
    <w:styleLink w:val="WWNum2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1" w15:restartNumberingAfterBreak="0">
    <w:nsid w:val="52B35E43"/>
    <w:multiLevelType w:val="multilevel"/>
    <w:tmpl w:val="F176BC48"/>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6AB2621"/>
    <w:multiLevelType w:val="multilevel"/>
    <w:tmpl w:val="FCECA914"/>
    <w:styleLink w:val="WWNum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3" w15:restartNumberingAfterBreak="0">
    <w:nsid w:val="578A1F17"/>
    <w:multiLevelType w:val="multilevel"/>
    <w:tmpl w:val="ECCE4576"/>
    <w:styleLink w:val="WWNum52"/>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4" w15:restartNumberingAfterBreak="0">
    <w:nsid w:val="5C882811"/>
    <w:multiLevelType w:val="multilevel"/>
    <w:tmpl w:val="8384C88E"/>
    <w:styleLink w:val="CCSListStyl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5FCA2537"/>
    <w:multiLevelType w:val="multilevel"/>
    <w:tmpl w:val="CCC090CA"/>
    <w:styleLink w:val="WWNum2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6" w15:restartNumberingAfterBreak="0">
    <w:nsid w:val="606439AF"/>
    <w:multiLevelType w:val="multilevel"/>
    <w:tmpl w:val="4ECAECA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7" w15:restartNumberingAfterBreak="0">
    <w:nsid w:val="63F62A40"/>
    <w:multiLevelType w:val="multilevel"/>
    <w:tmpl w:val="398C388A"/>
    <w:styleLink w:val="WWNum4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8" w15:restartNumberingAfterBreak="0">
    <w:nsid w:val="64E1493C"/>
    <w:multiLevelType w:val="multilevel"/>
    <w:tmpl w:val="978EA312"/>
    <w:styleLink w:val="WWNum1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9" w15:restartNumberingAfterBreak="0">
    <w:nsid w:val="677D699E"/>
    <w:multiLevelType w:val="multilevel"/>
    <w:tmpl w:val="45C4F13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0" w15:restartNumberingAfterBreak="0">
    <w:nsid w:val="6D1F7FA4"/>
    <w:multiLevelType w:val="multilevel"/>
    <w:tmpl w:val="F89626C4"/>
    <w:styleLink w:val="WWNum44"/>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1" w15:restartNumberingAfterBreak="0">
    <w:nsid w:val="6D89765F"/>
    <w:multiLevelType w:val="multilevel"/>
    <w:tmpl w:val="F79C9F2E"/>
    <w:styleLink w:val="WWNum35"/>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2" w15:restartNumberingAfterBreak="0">
    <w:nsid w:val="6E103DEF"/>
    <w:multiLevelType w:val="multilevel"/>
    <w:tmpl w:val="75A6C908"/>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3" w15:restartNumberingAfterBreak="0">
    <w:nsid w:val="71DC4FC0"/>
    <w:multiLevelType w:val="multilevel"/>
    <w:tmpl w:val="59DA6318"/>
    <w:styleLink w:val="WWNum2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4" w15:restartNumberingAfterBreak="0">
    <w:nsid w:val="759C228F"/>
    <w:multiLevelType w:val="multilevel"/>
    <w:tmpl w:val="1486A07C"/>
    <w:styleLink w:val="WWNum13"/>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5" w15:restartNumberingAfterBreak="0">
    <w:nsid w:val="766A0987"/>
    <w:multiLevelType w:val="multilevel"/>
    <w:tmpl w:val="42C62454"/>
    <w:styleLink w:val="WWNum1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6" w15:restartNumberingAfterBreak="0">
    <w:nsid w:val="7867688F"/>
    <w:multiLevelType w:val="multilevel"/>
    <w:tmpl w:val="F7B80C34"/>
    <w:styleLink w:val="WWNum40"/>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7" w15:restartNumberingAfterBreak="0">
    <w:nsid w:val="78AA52B3"/>
    <w:multiLevelType w:val="multilevel"/>
    <w:tmpl w:val="CDD28F12"/>
    <w:styleLink w:val="WWNum4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8" w15:restartNumberingAfterBreak="0">
    <w:nsid w:val="79BD19C9"/>
    <w:multiLevelType w:val="multilevel"/>
    <w:tmpl w:val="F00A4C5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9" w15:restartNumberingAfterBreak="0">
    <w:nsid w:val="7A6E2B73"/>
    <w:multiLevelType w:val="multilevel"/>
    <w:tmpl w:val="2AF8CA5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0" w15:restartNumberingAfterBreak="0">
    <w:nsid w:val="7D2672F2"/>
    <w:multiLevelType w:val="multilevel"/>
    <w:tmpl w:val="E5CA338C"/>
    <w:styleLink w:val="WWNum39"/>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1" w15:restartNumberingAfterBreak="0">
    <w:nsid w:val="7ED921BF"/>
    <w:multiLevelType w:val="multilevel"/>
    <w:tmpl w:val="BCB0372C"/>
    <w:styleLink w:val="WWNum37"/>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2" w15:restartNumberingAfterBreak="0">
    <w:nsid w:val="7FF5220D"/>
    <w:multiLevelType w:val="multilevel"/>
    <w:tmpl w:val="1C5A06B0"/>
    <w:styleLink w:val="WWNum11"/>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4"/>
  </w:num>
  <w:num w:numId="2">
    <w:abstractNumId w:val="40"/>
  </w:num>
  <w:num w:numId="3">
    <w:abstractNumId w:val="54"/>
  </w:num>
  <w:num w:numId="4">
    <w:abstractNumId w:val="31"/>
  </w:num>
  <w:num w:numId="5">
    <w:abstractNumId w:val="12"/>
  </w:num>
  <w:num w:numId="6">
    <w:abstractNumId w:val="49"/>
  </w:num>
  <w:num w:numId="7">
    <w:abstractNumId w:val="27"/>
  </w:num>
  <w:num w:numId="8">
    <w:abstractNumId w:val="20"/>
  </w:num>
  <w:num w:numId="9">
    <w:abstractNumId w:val="26"/>
  </w:num>
  <w:num w:numId="10">
    <w:abstractNumId w:val="24"/>
  </w:num>
  <w:num w:numId="11">
    <w:abstractNumId w:val="41"/>
  </w:num>
  <w:num w:numId="12">
    <w:abstractNumId w:val="19"/>
  </w:num>
  <w:num w:numId="13">
    <w:abstractNumId w:val="52"/>
  </w:num>
  <w:num w:numId="14">
    <w:abstractNumId w:val="65"/>
  </w:num>
  <w:num w:numId="15">
    <w:abstractNumId w:val="72"/>
  </w:num>
  <w:num w:numId="16">
    <w:abstractNumId w:val="5"/>
  </w:num>
  <w:num w:numId="17">
    <w:abstractNumId w:val="64"/>
  </w:num>
  <w:num w:numId="18">
    <w:abstractNumId w:val="8"/>
  </w:num>
  <w:num w:numId="19">
    <w:abstractNumId w:val="58"/>
  </w:num>
  <w:num w:numId="20">
    <w:abstractNumId w:val="46"/>
  </w:num>
  <w:num w:numId="21">
    <w:abstractNumId w:val="22"/>
  </w:num>
  <w:num w:numId="22">
    <w:abstractNumId w:val="38"/>
  </w:num>
  <w:num w:numId="23">
    <w:abstractNumId w:val="47"/>
  </w:num>
  <w:num w:numId="24">
    <w:abstractNumId w:val="63"/>
  </w:num>
  <w:num w:numId="25">
    <w:abstractNumId w:val="9"/>
  </w:num>
  <w:num w:numId="26">
    <w:abstractNumId w:val="14"/>
  </w:num>
  <w:num w:numId="27">
    <w:abstractNumId w:val="30"/>
  </w:num>
  <w:num w:numId="28">
    <w:abstractNumId w:val="50"/>
  </w:num>
  <w:num w:numId="29">
    <w:abstractNumId w:val="25"/>
  </w:num>
  <w:num w:numId="30">
    <w:abstractNumId w:val="3"/>
  </w:num>
  <w:num w:numId="31">
    <w:abstractNumId w:val="55"/>
  </w:num>
  <w:num w:numId="32">
    <w:abstractNumId w:val="1"/>
  </w:num>
  <w:num w:numId="33">
    <w:abstractNumId w:val="29"/>
  </w:num>
  <w:num w:numId="34">
    <w:abstractNumId w:val="39"/>
  </w:num>
  <w:num w:numId="35">
    <w:abstractNumId w:val="37"/>
  </w:num>
  <w:num w:numId="36">
    <w:abstractNumId w:val="36"/>
  </w:num>
  <w:num w:numId="37">
    <w:abstractNumId w:val="43"/>
  </w:num>
  <w:num w:numId="38">
    <w:abstractNumId w:val="21"/>
  </w:num>
  <w:num w:numId="39">
    <w:abstractNumId w:val="61"/>
  </w:num>
  <w:num w:numId="40">
    <w:abstractNumId w:val="11"/>
  </w:num>
  <w:num w:numId="41">
    <w:abstractNumId w:val="71"/>
  </w:num>
  <w:num w:numId="42">
    <w:abstractNumId w:val="2"/>
  </w:num>
  <w:num w:numId="43">
    <w:abstractNumId w:val="70"/>
  </w:num>
  <w:num w:numId="44">
    <w:abstractNumId w:val="66"/>
  </w:num>
  <w:num w:numId="45">
    <w:abstractNumId w:val="33"/>
  </w:num>
  <w:num w:numId="46">
    <w:abstractNumId w:val="48"/>
  </w:num>
  <w:num w:numId="47">
    <w:abstractNumId w:val="44"/>
  </w:num>
  <w:num w:numId="48">
    <w:abstractNumId w:val="60"/>
  </w:num>
  <w:num w:numId="49">
    <w:abstractNumId w:val="45"/>
  </w:num>
  <w:num w:numId="50">
    <w:abstractNumId w:val="57"/>
  </w:num>
  <w:num w:numId="51">
    <w:abstractNumId w:val="32"/>
  </w:num>
  <w:num w:numId="52">
    <w:abstractNumId w:val="6"/>
  </w:num>
  <w:num w:numId="53">
    <w:abstractNumId w:val="67"/>
  </w:num>
  <w:num w:numId="54">
    <w:abstractNumId w:val="7"/>
  </w:num>
  <w:num w:numId="55">
    <w:abstractNumId w:val="34"/>
  </w:num>
  <w:num w:numId="56">
    <w:abstractNumId w:val="53"/>
  </w:num>
  <w:num w:numId="57">
    <w:abstractNumId w:val="17"/>
  </w:num>
  <w:num w:numId="58">
    <w:abstractNumId w:val="68"/>
  </w:num>
  <w:num w:numId="59">
    <w:abstractNumId w:val="35"/>
  </w:num>
  <w:num w:numId="60">
    <w:abstractNumId w:val="10"/>
  </w:num>
  <w:num w:numId="61">
    <w:abstractNumId w:val="13"/>
  </w:num>
  <w:num w:numId="62">
    <w:abstractNumId w:val="51"/>
  </w:num>
  <w:num w:numId="63">
    <w:abstractNumId w:val="18"/>
  </w:num>
  <w:num w:numId="64">
    <w:abstractNumId w:val="69"/>
  </w:num>
  <w:num w:numId="65">
    <w:abstractNumId w:val="28"/>
  </w:num>
  <w:num w:numId="66">
    <w:abstractNumId w:val="0"/>
  </w:num>
  <w:num w:numId="67">
    <w:abstractNumId w:val="23"/>
  </w:num>
  <w:num w:numId="68">
    <w:abstractNumId w:val="16"/>
  </w:num>
  <w:num w:numId="69">
    <w:abstractNumId w:val="42"/>
  </w:num>
  <w:num w:numId="70">
    <w:abstractNumId w:val="59"/>
  </w:num>
  <w:num w:numId="71">
    <w:abstractNumId w:val="56"/>
  </w:num>
  <w:num w:numId="72">
    <w:abstractNumId w:val="15"/>
  </w:num>
  <w:num w:numId="73">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227"/>
    <w:rsid w:val="00216D74"/>
    <w:rsid w:val="00604F6D"/>
    <w:rsid w:val="00620DD6"/>
    <w:rsid w:val="00745227"/>
    <w:rsid w:val="008148AF"/>
    <w:rsid w:val="008471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AD5A"/>
  <w15:docId w15:val="{98D6D0FD-FB96-4E58-BC04-5FA1450F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240" w:after="240"/>
      <w:outlineLvl w:val="0"/>
    </w:pPr>
    <w:rPr>
      <w:rFonts w:eastAsia="F" w:cs="F"/>
      <w:b/>
      <w:color w:val="000000"/>
      <w:sz w:val="36"/>
      <w:szCs w:val="32"/>
    </w:rPr>
  </w:style>
  <w:style w:type="paragraph" w:styleId="Heading2">
    <w:name w:val="heading 2"/>
    <w:basedOn w:val="Normal"/>
    <w:next w:val="Standard"/>
    <w:uiPriority w:val="9"/>
    <w:unhideWhenUsed/>
    <w:qFormat/>
    <w:pPr>
      <w:keepNext/>
      <w:keepLines/>
      <w:widowControl w:val="0"/>
      <w:spacing w:before="240" w:line="360" w:lineRule="auto"/>
      <w:outlineLvl w:val="1"/>
    </w:pPr>
    <w:rPr>
      <w:rFonts w:eastAsia="F" w:cs="F"/>
      <w:b/>
      <w:sz w:val="28"/>
      <w:szCs w:val="26"/>
    </w:rPr>
  </w:style>
  <w:style w:type="paragraph" w:styleId="Heading3">
    <w:name w:val="heading 3"/>
    <w:basedOn w:val="Normal"/>
    <w:next w:val="Standard"/>
    <w:uiPriority w:val="9"/>
    <w:unhideWhenUsed/>
    <w:qFormat/>
    <w:pPr>
      <w:keepNext/>
      <w:keepLines/>
      <w:spacing w:before="40" w:line="360" w:lineRule="auto"/>
      <w:outlineLvl w:val="2"/>
    </w:pPr>
    <w:rPr>
      <w:rFonts w:eastAsia="F" w:cs="F"/>
      <w:b/>
      <w:color w:val="000000"/>
      <w:sz w:val="24"/>
      <w:szCs w:val="24"/>
    </w:rPr>
  </w:style>
  <w:style w:type="paragraph" w:styleId="Heading4">
    <w:name w:val="heading 4"/>
    <w:basedOn w:val="Normal"/>
    <w:next w:val="Standard"/>
    <w:uiPriority w:val="9"/>
    <w:semiHidden/>
    <w:unhideWhenUsed/>
    <w:qFormat/>
    <w:pPr>
      <w:keepNext/>
      <w:keepLines/>
      <w:spacing w:before="120" w:after="80" w:line="360" w:lineRule="auto"/>
      <w:outlineLvl w:val="3"/>
    </w:pPr>
    <w:rPr>
      <w:rFonts w:eastAsia="F" w:cs="F"/>
      <w:b/>
      <w:iCs/>
      <w:color w:val="000000"/>
    </w:rPr>
  </w:style>
  <w:style w:type="paragraph" w:styleId="Heading5">
    <w:name w:val="heading 5"/>
    <w:basedOn w:val="Normal"/>
    <w:next w:val="Standard"/>
    <w:uiPriority w:val="9"/>
    <w:semiHidden/>
    <w:unhideWhenUsed/>
    <w:qFormat/>
    <w:pPr>
      <w:keepNext/>
      <w:keepLines/>
      <w:spacing w:before="40"/>
      <w:outlineLvl w:val="4"/>
    </w:pPr>
    <w:rPr>
      <w:rFonts w:ascii="Calibri Light" w:eastAsia="F" w:hAnsi="Calibri Light" w:cs="F"/>
      <w:color w:val="2E74B5"/>
    </w:rPr>
  </w:style>
  <w:style w:type="paragraph" w:styleId="Heading6">
    <w:name w:val="heading 6"/>
    <w:basedOn w:val="Normal"/>
    <w:next w:val="Standard"/>
    <w:uiPriority w:val="9"/>
    <w:semiHidden/>
    <w:unhideWhenUsed/>
    <w:qFormat/>
    <w:pPr>
      <w:keepNext/>
      <w:keepLines/>
      <w:spacing w:before="40"/>
      <w:outlineLvl w:val="5"/>
    </w:pPr>
    <w:rPr>
      <w:rFonts w:ascii="Calibri Light" w:eastAsia="F" w:hAnsi="Calibri Light" w:cs="F"/>
      <w:color w:val="1F4D78"/>
    </w:rPr>
  </w:style>
  <w:style w:type="paragraph" w:styleId="Heading7">
    <w:name w:val="heading 7"/>
    <w:basedOn w:val="Normal"/>
    <w:next w:val="Standard"/>
    <w:pPr>
      <w:keepNext/>
      <w:keepLines/>
      <w:spacing w:before="40"/>
      <w:outlineLvl w:val="6"/>
    </w:pPr>
    <w:rPr>
      <w:rFonts w:ascii="Calibri Light" w:eastAsia="F" w:hAnsi="Calibri Light" w:cs="F"/>
      <w:i/>
      <w:iCs/>
      <w:color w:val="1F4D78"/>
    </w:rPr>
  </w:style>
  <w:style w:type="paragraph" w:styleId="Heading8">
    <w:name w:val="heading 8"/>
    <w:basedOn w:val="Normal"/>
    <w:next w:val="Standard"/>
    <w:pPr>
      <w:keepNext/>
      <w:keepLines/>
      <w:spacing w:before="40"/>
      <w:outlineLvl w:val="7"/>
    </w:pPr>
    <w:rPr>
      <w:rFonts w:ascii="Calibri Light" w:eastAsia="F" w:hAnsi="Calibri Light" w:cs="F"/>
      <w:color w:val="272727"/>
      <w:sz w:val="21"/>
      <w:szCs w:val="21"/>
    </w:rPr>
  </w:style>
  <w:style w:type="paragraph" w:styleId="Heading9">
    <w:name w:val="heading 9"/>
    <w:basedOn w:val="Normal"/>
    <w:next w:val="Standard"/>
    <w:pPr>
      <w:keepNext/>
      <w:keepLines/>
      <w:spacing w:before="40"/>
      <w:outlineLvl w:val="8"/>
    </w:pPr>
    <w:rPr>
      <w:rFonts w:ascii="Calibri Light" w:eastAsia="F" w:hAnsi="Calibri Light" w:cs="F"/>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20"/>
    </w:pPr>
    <w:rPr>
      <w:rFonts w:eastAsia="Calibri" w:cs="Calibri"/>
      <w:lang w:eastAsia="en-GB"/>
    </w:rPr>
  </w:style>
  <w:style w:type="paragraph" w:customStyle="1" w:styleId="Heading">
    <w:name w:val="Heading"/>
    <w:basedOn w:val="Standard"/>
    <w:next w:val="Textbody"/>
    <w:pPr>
      <w:keepNext/>
      <w:spacing w:before="24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spacing w:before="360" w:after="240" w:line="480" w:lineRule="auto"/>
      <w:ind w:left="431" w:hanging="431"/>
    </w:pPr>
    <w:rPr>
      <w:rFonts w:eastAsia="F" w:cs="F"/>
      <w:b/>
      <w:spacing w:val="-10"/>
      <w:kern w:val="3"/>
      <w:sz w:val="36"/>
      <w:szCs w:val="56"/>
    </w:rPr>
  </w:style>
  <w:style w:type="paragraph" w:styleId="NoSpacing">
    <w:name w:val="No Spacing"/>
    <w:autoRedefine/>
    <w:pPr>
      <w:suppressAutoHyphens/>
      <w:ind w:left="792" w:hanging="432"/>
    </w:pPr>
    <w:rPr>
      <w:rFonts w:eastAsia="Calibri" w:cs="Calibri"/>
      <w:sz w:val="24"/>
      <w:szCs w:val="24"/>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styleId="TOCHeading">
    <w:name w:val="TOC Heading"/>
    <w:basedOn w:val="Heading1"/>
    <w:next w:val="Standard"/>
    <w:rPr>
      <w:rFonts w:ascii="Calibri Light" w:eastAsia="Calibri Light" w:hAnsi="Calibri Light" w:cs="Calibri Light"/>
      <w:b w:val="0"/>
      <w:color w:val="2E74B5"/>
      <w:sz w:val="32"/>
      <w:lang w:val="en-US" w:eastAsia="en-US"/>
    </w:rPr>
  </w:style>
  <w:style w:type="paragraph" w:customStyle="1" w:styleId="Contents1">
    <w:name w:val="Contents 1"/>
    <w:basedOn w:val="Normal"/>
    <w:next w:val="Standard"/>
    <w:autoRedefine/>
    <w:pPr>
      <w:tabs>
        <w:tab w:val="right" w:leader="dot" w:pos="9016"/>
      </w:tabs>
      <w:spacing w:after="100"/>
    </w:pPr>
  </w:style>
  <w:style w:type="paragraph" w:customStyle="1" w:styleId="Contents2">
    <w:name w:val="Contents 2"/>
    <w:basedOn w:val="Normal"/>
    <w:next w:val="Standard"/>
    <w:autoRedefine/>
    <w:pPr>
      <w:spacing w:after="100"/>
      <w:ind w:left="220"/>
    </w:pPr>
  </w:style>
  <w:style w:type="paragraph" w:styleId="BalloonText">
    <w:name w:val="Balloon Text"/>
    <w:basedOn w:val="Normal"/>
    <w:rPr>
      <w:rFonts w:ascii="Segoe UI" w:eastAsia="Segoe UI" w:hAnsi="Segoe UI" w:cs="Segoe UI"/>
      <w:sz w:val="18"/>
      <w:szCs w:val="18"/>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ing2Char">
    <w:name w:val="Heading 2 Char"/>
    <w:basedOn w:val="DefaultParagraphFont"/>
    <w:rPr>
      <w:rFonts w:ascii="Arial" w:eastAsia="F" w:hAnsi="Arial" w:cs="F"/>
      <w:b/>
      <w:sz w:val="28"/>
      <w:szCs w:val="26"/>
      <w:lang w:eastAsia="en-GB"/>
    </w:rPr>
  </w:style>
  <w:style w:type="character" w:customStyle="1" w:styleId="TitleChar">
    <w:name w:val="Title Char"/>
    <w:basedOn w:val="DefaultParagraphFont"/>
    <w:rPr>
      <w:rFonts w:ascii="Arial" w:eastAsia="F" w:hAnsi="Arial" w:cs="F"/>
      <w:b/>
      <w:spacing w:val="-10"/>
      <w:kern w:val="3"/>
      <w:sz w:val="36"/>
      <w:szCs w:val="56"/>
      <w:lang w:eastAsia="en-GB"/>
    </w:rPr>
  </w:style>
  <w:style w:type="character" w:customStyle="1" w:styleId="Heading1Char">
    <w:name w:val="Heading 1 Char"/>
    <w:basedOn w:val="DefaultParagraphFont"/>
    <w:rPr>
      <w:rFonts w:ascii="Arial" w:eastAsia="F" w:hAnsi="Arial" w:cs="F"/>
      <w:b/>
      <w:color w:val="000000"/>
      <w:sz w:val="36"/>
      <w:szCs w:val="32"/>
      <w:lang w:eastAsia="en-GB"/>
    </w:rPr>
  </w:style>
  <w:style w:type="character" w:customStyle="1" w:styleId="Heading3Char">
    <w:name w:val="Heading 3 Char"/>
    <w:basedOn w:val="DefaultParagraphFont"/>
    <w:rPr>
      <w:rFonts w:ascii="Arial" w:eastAsia="F" w:hAnsi="Arial" w:cs="F"/>
      <w:b/>
      <w:color w:val="000000"/>
      <w:sz w:val="24"/>
      <w:szCs w:val="24"/>
      <w:lang w:eastAsia="en-GB"/>
    </w:rPr>
  </w:style>
  <w:style w:type="character" w:customStyle="1" w:styleId="Heading4Char">
    <w:name w:val="Heading 4 Char"/>
    <w:basedOn w:val="DefaultParagraphFont"/>
    <w:rPr>
      <w:rFonts w:ascii="Arial" w:eastAsia="F" w:hAnsi="Arial" w:cs="F"/>
      <w:b/>
      <w:iCs/>
      <w:color w:val="000000"/>
      <w:lang w:eastAsia="en-GB"/>
    </w:rPr>
  </w:style>
  <w:style w:type="character" w:customStyle="1" w:styleId="Heading5Char">
    <w:name w:val="Heading 5 Char"/>
    <w:basedOn w:val="DefaultParagraphFont"/>
    <w:rPr>
      <w:rFonts w:ascii="Calibri Light" w:eastAsia="F" w:hAnsi="Calibri Light" w:cs="F"/>
      <w:color w:val="2E74B5"/>
      <w:lang w:eastAsia="en-GB"/>
    </w:rPr>
  </w:style>
  <w:style w:type="character" w:customStyle="1" w:styleId="Heading6Char">
    <w:name w:val="Heading 6 Char"/>
    <w:basedOn w:val="DefaultParagraphFont"/>
    <w:rPr>
      <w:rFonts w:ascii="Calibri Light" w:eastAsia="F" w:hAnsi="Calibri Light" w:cs="F"/>
      <w:color w:val="1F4D78"/>
      <w:lang w:eastAsia="en-GB"/>
    </w:rPr>
  </w:style>
  <w:style w:type="character" w:customStyle="1" w:styleId="Heading7Char">
    <w:name w:val="Heading 7 Char"/>
    <w:basedOn w:val="DefaultParagraphFont"/>
    <w:rPr>
      <w:rFonts w:ascii="Calibri Light" w:eastAsia="F" w:hAnsi="Calibri Light" w:cs="F"/>
      <w:i/>
      <w:iCs/>
      <w:color w:val="1F4D78"/>
      <w:lang w:eastAsia="en-GB"/>
    </w:rPr>
  </w:style>
  <w:style w:type="character" w:customStyle="1" w:styleId="Heading8Char">
    <w:name w:val="Heading 8 Char"/>
    <w:basedOn w:val="DefaultParagraphFont"/>
    <w:rPr>
      <w:rFonts w:ascii="Calibri Light" w:eastAsia="F" w:hAnsi="Calibri Light" w:cs="F"/>
      <w:color w:val="272727"/>
      <w:sz w:val="21"/>
      <w:szCs w:val="21"/>
      <w:lang w:eastAsia="en-GB"/>
    </w:rPr>
  </w:style>
  <w:style w:type="character" w:customStyle="1" w:styleId="Heading9Char">
    <w:name w:val="Heading 9 Char"/>
    <w:basedOn w:val="DefaultParagraphFont"/>
    <w:rPr>
      <w:rFonts w:ascii="Calibri Light" w:eastAsia="F" w:hAnsi="Calibri Light" w:cs="F"/>
      <w:i/>
      <w:iCs/>
      <w:color w:val="272727"/>
      <w:sz w:val="21"/>
      <w:szCs w:val="21"/>
      <w:lang w:eastAsia="en-GB"/>
    </w:rPr>
  </w:style>
  <w:style w:type="character" w:customStyle="1" w:styleId="HeaderChar">
    <w:name w:val="Header Char"/>
    <w:basedOn w:val="DefaultParagraphFont"/>
    <w:rPr>
      <w:rFonts w:ascii="Arial" w:eastAsia="Calibri" w:hAnsi="Arial" w:cs="Arial"/>
      <w:lang w:eastAsia="en-GB"/>
    </w:rPr>
  </w:style>
  <w:style w:type="character" w:customStyle="1" w:styleId="FooterChar">
    <w:name w:val="Footer Char"/>
    <w:basedOn w:val="DefaultParagraphFont"/>
    <w:rPr>
      <w:rFonts w:ascii="Arial" w:eastAsia="Calibri" w:hAnsi="Arial" w:cs="Arial"/>
      <w:lang w:eastAsia="en-GB"/>
    </w:rPr>
  </w:style>
  <w:style w:type="character" w:customStyle="1" w:styleId="Internetlink">
    <w:name w:val="Internet link"/>
    <w:basedOn w:val="DefaultParagraphFont"/>
    <w:rPr>
      <w:color w:val="0563C1"/>
      <w:u w:val="single"/>
    </w:rPr>
  </w:style>
  <w:style w:type="character" w:customStyle="1" w:styleId="BalloonTextChar">
    <w:name w:val="Balloon Text Char"/>
    <w:basedOn w:val="DefaultParagraphFont"/>
    <w:rPr>
      <w:rFonts w:ascii="Segoe UI" w:eastAsia="Calibri" w:hAnsi="Segoe UI" w:cs="Segoe UI"/>
      <w:sz w:val="18"/>
      <w:szCs w:val="18"/>
      <w:lang w:eastAsia="en-GB"/>
    </w:rPr>
  </w:style>
  <w:style w:type="character" w:customStyle="1" w:styleId="ListLabel1">
    <w:name w:val="ListLabel 1"/>
    <w:rPr>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u w:val="none"/>
    </w:rPr>
  </w:style>
  <w:style w:type="character" w:customStyle="1" w:styleId="ListLabel73">
    <w:name w:val="ListLabel 73"/>
    <w:rPr>
      <w:u w:val="none"/>
    </w:rPr>
  </w:style>
  <w:style w:type="character" w:customStyle="1" w:styleId="ListLabel74">
    <w:name w:val="ListLabel 74"/>
    <w:rPr>
      <w:u w:val="none"/>
    </w:rPr>
  </w:style>
  <w:style w:type="character" w:customStyle="1" w:styleId="ListLabel75">
    <w:name w:val="ListLabel 75"/>
    <w:rPr>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u w:val="none"/>
    </w:rPr>
  </w:style>
  <w:style w:type="character" w:customStyle="1" w:styleId="ListLabel112">
    <w:name w:val="ListLabel 112"/>
    <w:rPr>
      <w:u w:val="none"/>
    </w:rPr>
  </w:style>
  <w:style w:type="character" w:customStyle="1" w:styleId="ListLabel113">
    <w:name w:val="ListLabel 113"/>
    <w:rPr>
      <w:u w:val="none"/>
    </w:rPr>
  </w:style>
  <w:style w:type="character" w:customStyle="1" w:styleId="ListLabel114">
    <w:name w:val="ListLabel 114"/>
    <w:rPr>
      <w:u w:val="none"/>
    </w:rPr>
  </w:style>
  <w:style w:type="character" w:customStyle="1" w:styleId="ListLabel115">
    <w:name w:val="ListLabel 115"/>
    <w:rPr>
      <w:u w:val="none"/>
    </w:rPr>
  </w:style>
  <w:style w:type="character" w:customStyle="1" w:styleId="ListLabel116">
    <w:name w:val="ListLabel 116"/>
    <w:rPr>
      <w:u w:val="none"/>
    </w:rPr>
  </w:style>
  <w:style w:type="character" w:customStyle="1" w:styleId="ListLabel117">
    <w:name w:val="ListLabel 117"/>
    <w:rPr>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u w:val="none"/>
    </w:rPr>
  </w:style>
  <w:style w:type="character" w:customStyle="1" w:styleId="ListLabel181">
    <w:name w:val="ListLabel 181"/>
    <w:rPr>
      <w:u w:val="none"/>
    </w:rPr>
  </w:style>
  <w:style w:type="character" w:customStyle="1" w:styleId="ListLabel182">
    <w:name w:val="ListLabel 182"/>
    <w:rPr>
      <w:u w:val="none"/>
    </w:rPr>
  </w:style>
  <w:style w:type="character" w:customStyle="1" w:styleId="ListLabel183">
    <w:name w:val="ListLabel 183"/>
    <w:rPr>
      <w:u w:val="none"/>
    </w:rPr>
  </w:style>
  <w:style w:type="character" w:customStyle="1" w:styleId="ListLabel184">
    <w:name w:val="ListLabel 184"/>
    <w:rPr>
      <w:u w:val="none"/>
    </w:rPr>
  </w:style>
  <w:style w:type="character" w:customStyle="1" w:styleId="ListLabel185">
    <w:name w:val="ListLabel 185"/>
    <w:rPr>
      <w:u w:val="none"/>
    </w:rPr>
  </w:style>
  <w:style w:type="character" w:customStyle="1" w:styleId="ListLabel186">
    <w:name w:val="ListLabel 186"/>
    <w:rPr>
      <w:u w:val="none"/>
    </w:rPr>
  </w:style>
  <w:style w:type="character" w:customStyle="1" w:styleId="ListLabel187">
    <w:name w:val="ListLabel 187"/>
    <w:rPr>
      <w:u w:val="none"/>
    </w:rPr>
  </w:style>
  <w:style w:type="character" w:customStyle="1" w:styleId="ListLabel188">
    <w:name w:val="ListLabel 188"/>
    <w:rPr>
      <w:u w:val="none"/>
    </w:rPr>
  </w:style>
  <w:style w:type="character" w:customStyle="1" w:styleId="ListLabel189">
    <w:name w:val="ListLabel 189"/>
    <w:rPr>
      <w:u w:val="none"/>
    </w:rPr>
  </w:style>
  <w:style w:type="character" w:customStyle="1" w:styleId="ListLabel190">
    <w:name w:val="ListLabel 190"/>
    <w:rPr>
      <w:u w:val="none"/>
    </w:rPr>
  </w:style>
  <w:style w:type="character" w:customStyle="1" w:styleId="ListLabel191">
    <w:name w:val="ListLabel 191"/>
    <w:rPr>
      <w:u w:val="none"/>
    </w:rPr>
  </w:style>
  <w:style w:type="character" w:customStyle="1" w:styleId="ListLabel192">
    <w:name w:val="ListLabel 192"/>
    <w:rPr>
      <w:u w:val="none"/>
    </w:rPr>
  </w:style>
  <w:style w:type="character" w:customStyle="1" w:styleId="ListLabel193">
    <w:name w:val="ListLabel 193"/>
    <w:rPr>
      <w:u w:val="none"/>
    </w:rPr>
  </w:style>
  <w:style w:type="character" w:customStyle="1" w:styleId="ListLabel194">
    <w:name w:val="ListLabel 194"/>
    <w:rPr>
      <w:u w:val="none"/>
    </w:rPr>
  </w:style>
  <w:style w:type="character" w:customStyle="1" w:styleId="ListLabel195">
    <w:name w:val="ListLabel 195"/>
    <w:rPr>
      <w:u w:val="none"/>
    </w:rPr>
  </w:style>
  <w:style w:type="character" w:customStyle="1" w:styleId="ListLabel196">
    <w:name w:val="ListLabel 196"/>
    <w:rPr>
      <w:u w:val="none"/>
    </w:rPr>
  </w:style>
  <w:style w:type="character" w:customStyle="1" w:styleId="ListLabel197">
    <w:name w:val="ListLabel 197"/>
    <w:rPr>
      <w:u w:val="none"/>
    </w:rPr>
  </w:style>
  <w:style w:type="character" w:customStyle="1" w:styleId="ListLabel198">
    <w:name w:val="ListLabel 198"/>
    <w:rPr>
      <w:u w:val="none"/>
    </w:rPr>
  </w:style>
  <w:style w:type="character" w:customStyle="1" w:styleId="ListLabel199">
    <w:name w:val="ListLabel 199"/>
    <w:rPr>
      <w:u w:val="none"/>
    </w:rPr>
  </w:style>
  <w:style w:type="character" w:customStyle="1" w:styleId="ListLabel200">
    <w:name w:val="ListLabel 200"/>
    <w:rPr>
      <w:u w:val="none"/>
    </w:rPr>
  </w:style>
  <w:style w:type="character" w:customStyle="1" w:styleId="ListLabel201">
    <w:name w:val="ListLabel 201"/>
    <w:rPr>
      <w:u w:val="none"/>
    </w:rPr>
  </w:style>
  <w:style w:type="character" w:customStyle="1" w:styleId="ListLabel202">
    <w:name w:val="ListLabel 202"/>
    <w:rPr>
      <w:u w:val="none"/>
    </w:rPr>
  </w:style>
  <w:style w:type="character" w:customStyle="1" w:styleId="ListLabel203">
    <w:name w:val="ListLabel 203"/>
    <w:rPr>
      <w:u w:val="none"/>
    </w:rPr>
  </w:style>
  <w:style w:type="character" w:customStyle="1" w:styleId="ListLabel204">
    <w:name w:val="ListLabel 204"/>
    <w:rPr>
      <w:u w:val="none"/>
    </w:rPr>
  </w:style>
  <w:style w:type="character" w:customStyle="1" w:styleId="ListLabel205">
    <w:name w:val="ListLabel 205"/>
    <w:rPr>
      <w:u w:val="none"/>
    </w:rPr>
  </w:style>
  <w:style w:type="character" w:customStyle="1" w:styleId="ListLabel206">
    <w:name w:val="ListLabel 206"/>
    <w:rPr>
      <w:u w:val="none"/>
    </w:rPr>
  </w:style>
  <w:style w:type="character" w:customStyle="1" w:styleId="ListLabel207">
    <w:name w:val="ListLabel 207"/>
    <w:rPr>
      <w:u w:val="none"/>
    </w:rPr>
  </w:style>
  <w:style w:type="character" w:customStyle="1" w:styleId="ListLabel208">
    <w:name w:val="ListLabel 208"/>
    <w:rPr>
      <w:u w:val="none"/>
    </w:rPr>
  </w:style>
  <w:style w:type="character" w:customStyle="1" w:styleId="ListLabel209">
    <w:name w:val="ListLabel 209"/>
    <w:rPr>
      <w:u w:val="none"/>
    </w:rPr>
  </w:style>
  <w:style w:type="character" w:customStyle="1" w:styleId="ListLabel210">
    <w:name w:val="ListLabel 210"/>
    <w:rPr>
      <w:u w:val="none"/>
    </w:rPr>
  </w:style>
  <w:style w:type="character" w:customStyle="1" w:styleId="ListLabel211">
    <w:name w:val="ListLabel 211"/>
    <w:rPr>
      <w:u w:val="none"/>
    </w:rPr>
  </w:style>
  <w:style w:type="character" w:customStyle="1" w:styleId="ListLabel212">
    <w:name w:val="ListLabel 212"/>
    <w:rPr>
      <w:u w:val="none"/>
    </w:rPr>
  </w:style>
  <w:style w:type="character" w:customStyle="1" w:styleId="ListLabel213">
    <w:name w:val="ListLabel 213"/>
    <w:rPr>
      <w:u w:val="none"/>
    </w:rPr>
  </w:style>
  <w:style w:type="character" w:customStyle="1" w:styleId="ListLabel214">
    <w:name w:val="ListLabel 214"/>
    <w:rPr>
      <w:u w:val="none"/>
    </w:rPr>
  </w:style>
  <w:style w:type="character" w:customStyle="1" w:styleId="ListLabel215">
    <w:name w:val="ListLabel 215"/>
    <w:rPr>
      <w:u w:val="none"/>
    </w:rPr>
  </w:style>
  <w:style w:type="character" w:customStyle="1" w:styleId="ListLabel216">
    <w:name w:val="ListLabel 216"/>
    <w:rPr>
      <w:u w:val="none"/>
    </w:rPr>
  </w:style>
  <w:style w:type="character" w:customStyle="1" w:styleId="ListLabel217">
    <w:name w:val="ListLabel 217"/>
    <w:rPr>
      <w:u w:val="none"/>
    </w:rPr>
  </w:style>
  <w:style w:type="character" w:customStyle="1" w:styleId="ListLabel218">
    <w:name w:val="ListLabel 218"/>
    <w:rPr>
      <w:u w:val="none"/>
    </w:rPr>
  </w:style>
  <w:style w:type="character" w:customStyle="1" w:styleId="ListLabel219">
    <w:name w:val="ListLabel 219"/>
    <w:rPr>
      <w:u w:val="none"/>
    </w:rPr>
  </w:style>
  <w:style w:type="character" w:customStyle="1" w:styleId="ListLabel220">
    <w:name w:val="ListLabel 220"/>
    <w:rPr>
      <w:u w:val="none"/>
    </w:rPr>
  </w:style>
  <w:style w:type="character" w:customStyle="1" w:styleId="ListLabel221">
    <w:name w:val="ListLabel 221"/>
    <w:rPr>
      <w:u w:val="none"/>
    </w:rPr>
  </w:style>
  <w:style w:type="character" w:customStyle="1" w:styleId="ListLabel222">
    <w:name w:val="ListLabel 222"/>
    <w:rPr>
      <w:u w:val="none"/>
    </w:rPr>
  </w:style>
  <w:style w:type="character" w:customStyle="1" w:styleId="ListLabel223">
    <w:name w:val="ListLabel 223"/>
    <w:rPr>
      <w:u w:val="none"/>
    </w:rPr>
  </w:style>
  <w:style w:type="character" w:customStyle="1" w:styleId="ListLabel224">
    <w:name w:val="ListLabel 224"/>
    <w:rPr>
      <w:u w:val="none"/>
    </w:rPr>
  </w:style>
  <w:style w:type="character" w:customStyle="1" w:styleId="ListLabel225">
    <w:name w:val="ListLabel 225"/>
    <w:rPr>
      <w:u w:val="none"/>
    </w:rPr>
  </w:style>
  <w:style w:type="character" w:customStyle="1" w:styleId="ListLabel226">
    <w:name w:val="ListLabel 226"/>
    <w:rPr>
      <w:u w:val="none"/>
    </w:rPr>
  </w:style>
  <w:style w:type="character" w:customStyle="1" w:styleId="ListLabel227">
    <w:name w:val="ListLabel 227"/>
    <w:rPr>
      <w:u w:val="none"/>
    </w:rPr>
  </w:style>
  <w:style w:type="character" w:customStyle="1" w:styleId="ListLabel228">
    <w:name w:val="ListLabel 228"/>
    <w:rPr>
      <w:u w:val="none"/>
    </w:rPr>
  </w:style>
  <w:style w:type="character" w:customStyle="1" w:styleId="ListLabel229">
    <w:name w:val="ListLabel 229"/>
    <w:rPr>
      <w:u w:val="none"/>
    </w:rPr>
  </w:style>
  <w:style w:type="character" w:customStyle="1" w:styleId="ListLabel230">
    <w:name w:val="ListLabel 230"/>
    <w:rPr>
      <w:u w:val="none"/>
    </w:rPr>
  </w:style>
  <w:style w:type="character" w:customStyle="1" w:styleId="ListLabel231">
    <w:name w:val="ListLabel 231"/>
    <w:rPr>
      <w:u w:val="none"/>
    </w:rPr>
  </w:style>
  <w:style w:type="character" w:customStyle="1" w:styleId="ListLabel232">
    <w:name w:val="ListLabel 232"/>
    <w:rPr>
      <w:u w:val="none"/>
    </w:rPr>
  </w:style>
  <w:style w:type="character" w:customStyle="1" w:styleId="ListLabel233">
    <w:name w:val="ListLabel 233"/>
    <w:rPr>
      <w:u w:val="none"/>
    </w:rPr>
  </w:style>
  <w:style w:type="character" w:customStyle="1" w:styleId="ListLabel234">
    <w:name w:val="ListLabel 234"/>
    <w:rPr>
      <w:u w:val="none"/>
    </w:rPr>
  </w:style>
  <w:style w:type="character" w:customStyle="1" w:styleId="ListLabel235">
    <w:name w:val="ListLabel 235"/>
    <w:rPr>
      <w:u w:val="none"/>
    </w:rPr>
  </w:style>
  <w:style w:type="character" w:customStyle="1" w:styleId="ListLabel236">
    <w:name w:val="ListLabel 236"/>
    <w:rPr>
      <w:u w:val="none"/>
    </w:rPr>
  </w:style>
  <w:style w:type="character" w:customStyle="1" w:styleId="ListLabel237">
    <w:name w:val="ListLabel 237"/>
    <w:rPr>
      <w:u w:val="none"/>
    </w:rPr>
  </w:style>
  <w:style w:type="character" w:customStyle="1" w:styleId="ListLabel238">
    <w:name w:val="ListLabel 238"/>
    <w:rPr>
      <w:u w:val="none"/>
    </w:rPr>
  </w:style>
  <w:style w:type="character" w:customStyle="1" w:styleId="ListLabel239">
    <w:name w:val="ListLabel 239"/>
    <w:rPr>
      <w:u w:val="none"/>
    </w:rPr>
  </w:style>
  <w:style w:type="character" w:customStyle="1" w:styleId="ListLabel240">
    <w:name w:val="ListLabel 240"/>
    <w:rPr>
      <w:u w:val="none"/>
    </w:rPr>
  </w:style>
  <w:style w:type="character" w:customStyle="1" w:styleId="ListLabel241">
    <w:name w:val="ListLabel 241"/>
    <w:rPr>
      <w:u w:val="none"/>
    </w:rPr>
  </w:style>
  <w:style w:type="character" w:customStyle="1" w:styleId="ListLabel242">
    <w:name w:val="ListLabel 242"/>
    <w:rPr>
      <w:u w:val="none"/>
    </w:rPr>
  </w:style>
  <w:style w:type="character" w:customStyle="1" w:styleId="ListLabel243">
    <w:name w:val="ListLabel 243"/>
    <w:rPr>
      <w:u w:val="none"/>
    </w:rPr>
  </w:style>
  <w:style w:type="character" w:customStyle="1" w:styleId="ListLabel244">
    <w:name w:val="ListLabel 244"/>
    <w:rPr>
      <w:u w:val="none"/>
    </w:rPr>
  </w:style>
  <w:style w:type="character" w:customStyle="1" w:styleId="ListLabel245">
    <w:name w:val="ListLabel 245"/>
    <w:rPr>
      <w:u w:val="none"/>
    </w:rPr>
  </w:style>
  <w:style w:type="character" w:customStyle="1" w:styleId="ListLabel246">
    <w:name w:val="ListLabel 246"/>
    <w:rPr>
      <w:u w:val="none"/>
    </w:rPr>
  </w:style>
  <w:style w:type="character" w:customStyle="1" w:styleId="ListLabel247">
    <w:name w:val="ListLabel 247"/>
    <w:rPr>
      <w:u w:val="none"/>
    </w:rPr>
  </w:style>
  <w:style w:type="character" w:customStyle="1" w:styleId="ListLabel248">
    <w:name w:val="ListLabel 248"/>
    <w:rPr>
      <w:u w:val="none"/>
    </w:rPr>
  </w:style>
  <w:style w:type="character" w:customStyle="1" w:styleId="ListLabel249">
    <w:name w:val="ListLabel 249"/>
    <w:rPr>
      <w:u w:val="none"/>
    </w:rPr>
  </w:style>
  <w:style w:type="character" w:customStyle="1" w:styleId="ListLabel250">
    <w:name w:val="ListLabel 250"/>
    <w:rPr>
      <w:u w:val="none"/>
    </w:rPr>
  </w:style>
  <w:style w:type="character" w:customStyle="1" w:styleId="ListLabel251">
    <w:name w:val="ListLabel 251"/>
    <w:rPr>
      <w:u w:val="none"/>
    </w:rPr>
  </w:style>
  <w:style w:type="character" w:customStyle="1" w:styleId="ListLabel252">
    <w:name w:val="ListLabel 252"/>
    <w:rPr>
      <w:u w:val="none"/>
    </w:rPr>
  </w:style>
  <w:style w:type="character" w:customStyle="1" w:styleId="ListLabel253">
    <w:name w:val="ListLabel 253"/>
    <w:rPr>
      <w:u w:val="none"/>
    </w:rPr>
  </w:style>
  <w:style w:type="character" w:customStyle="1" w:styleId="ListLabel254">
    <w:name w:val="ListLabel 254"/>
    <w:rPr>
      <w:u w:val="none"/>
    </w:rPr>
  </w:style>
  <w:style w:type="character" w:customStyle="1" w:styleId="ListLabel255">
    <w:name w:val="ListLabel 255"/>
    <w:rPr>
      <w:u w:val="none"/>
    </w:rPr>
  </w:style>
  <w:style w:type="character" w:customStyle="1" w:styleId="ListLabel256">
    <w:name w:val="ListLabel 256"/>
    <w:rPr>
      <w:u w:val="none"/>
    </w:rPr>
  </w:style>
  <w:style w:type="character" w:customStyle="1" w:styleId="ListLabel257">
    <w:name w:val="ListLabel 257"/>
    <w:rPr>
      <w:u w:val="none"/>
    </w:rPr>
  </w:style>
  <w:style w:type="character" w:customStyle="1" w:styleId="ListLabel258">
    <w:name w:val="ListLabel 258"/>
    <w:rPr>
      <w:u w:val="none"/>
    </w:rPr>
  </w:style>
  <w:style w:type="character" w:customStyle="1" w:styleId="ListLabel259">
    <w:name w:val="ListLabel 259"/>
    <w:rPr>
      <w:u w:val="none"/>
    </w:rPr>
  </w:style>
  <w:style w:type="character" w:customStyle="1" w:styleId="ListLabel260">
    <w:name w:val="ListLabel 260"/>
    <w:rPr>
      <w:u w:val="none"/>
    </w:rPr>
  </w:style>
  <w:style w:type="character" w:customStyle="1" w:styleId="ListLabel261">
    <w:name w:val="ListLabel 261"/>
    <w:rPr>
      <w:u w:val="none"/>
    </w:rPr>
  </w:style>
  <w:style w:type="character" w:customStyle="1" w:styleId="ListLabel262">
    <w:name w:val="ListLabel 262"/>
    <w:rPr>
      <w:u w:val="none"/>
    </w:rPr>
  </w:style>
  <w:style w:type="character" w:customStyle="1" w:styleId="ListLabel263">
    <w:name w:val="ListLabel 263"/>
    <w:rPr>
      <w:u w:val="none"/>
    </w:rPr>
  </w:style>
  <w:style w:type="character" w:customStyle="1" w:styleId="ListLabel264">
    <w:name w:val="ListLabel 264"/>
    <w:rPr>
      <w:u w:val="none"/>
    </w:rPr>
  </w:style>
  <w:style w:type="character" w:customStyle="1" w:styleId="ListLabel265">
    <w:name w:val="ListLabel 265"/>
    <w:rPr>
      <w:u w:val="none"/>
    </w:rPr>
  </w:style>
  <w:style w:type="character" w:customStyle="1" w:styleId="ListLabel266">
    <w:name w:val="ListLabel 266"/>
    <w:rPr>
      <w:u w:val="none"/>
    </w:rPr>
  </w:style>
  <w:style w:type="character" w:customStyle="1" w:styleId="ListLabel267">
    <w:name w:val="ListLabel 267"/>
    <w:rPr>
      <w:u w:val="none"/>
    </w:rPr>
  </w:style>
  <w:style w:type="character" w:customStyle="1" w:styleId="ListLabel268">
    <w:name w:val="ListLabel 268"/>
    <w:rPr>
      <w:u w:val="none"/>
    </w:rPr>
  </w:style>
  <w:style w:type="character" w:customStyle="1" w:styleId="ListLabel269">
    <w:name w:val="ListLabel 269"/>
    <w:rPr>
      <w:u w:val="none"/>
    </w:rPr>
  </w:style>
  <w:style w:type="character" w:customStyle="1" w:styleId="ListLabel270">
    <w:name w:val="ListLabel 270"/>
    <w:rPr>
      <w:u w:val="none"/>
    </w:rPr>
  </w:style>
  <w:style w:type="character" w:customStyle="1" w:styleId="ListLabel271">
    <w:name w:val="ListLabel 271"/>
    <w:rPr>
      <w:u w:val="none"/>
    </w:rPr>
  </w:style>
  <w:style w:type="character" w:customStyle="1" w:styleId="ListLabel272">
    <w:name w:val="ListLabel 272"/>
    <w:rPr>
      <w:u w:val="none"/>
    </w:rPr>
  </w:style>
  <w:style w:type="character" w:customStyle="1" w:styleId="ListLabel273">
    <w:name w:val="ListLabel 273"/>
    <w:rPr>
      <w:u w:val="none"/>
    </w:rPr>
  </w:style>
  <w:style w:type="character" w:customStyle="1" w:styleId="ListLabel274">
    <w:name w:val="ListLabel 274"/>
    <w:rPr>
      <w:u w:val="none"/>
    </w:rPr>
  </w:style>
  <w:style w:type="character" w:customStyle="1" w:styleId="ListLabel275">
    <w:name w:val="ListLabel 275"/>
    <w:rPr>
      <w:u w:val="none"/>
    </w:rPr>
  </w:style>
  <w:style w:type="character" w:customStyle="1" w:styleId="ListLabel276">
    <w:name w:val="ListLabel 276"/>
    <w:rPr>
      <w:u w:val="none"/>
    </w:rPr>
  </w:style>
  <w:style w:type="character" w:customStyle="1" w:styleId="ListLabel277">
    <w:name w:val="ListLabel 277"/>
    <w:rPr>
      <w:u w:val="none"/>
    </w:rPr>
  </w:style>
  <w:style w:type="character" w:customStyle="1" w:styleId="ListLabel278">
    <w:name w:val="ListLabel 278"/>
    <w:rPr>
      <w:u w:val="none"/>
    </w:rPr>
  </w:style>
  <w:style w:type="character" w:customStyle="1" w:styleId="ListLabel279">
    <w:name w:val="ListLabel 279"/>
    <w:rPr>
      <w:u w:val="none"/>
    </w:rPr>
  </w:style>
  <w:style w:type="character" w:customStyle="1" w:styleId="ListLabel280">
    <w:name w:val="ListLabel 280"/>
    <w:rPr>
      <w:u w:val="none"/>
    </w:rPr>
  </w:style>
  <w:style w:type="character" w:customStyle="1" w:styleId="ListLabel281">
    <w:name w:val="ListLabel 281"/>
    <w:rPr>
      <w:u w:val="none"/>
    </w:rPr>
  </w:style>
  <w:style w:type="character" w:customStyle="1" w:styleId="ListLabel282">
    <w:name w:val="ListLabel 282"/>
    <w:rPr>
      <w:u w:val="none"/>
    </w:rPr>
  </w:style>
  <w:style w:type="character" w:customStyle="1" w:styleId="ListLabel283">
    <w:name w:val="ListLabel 283"/>
    <w:rPr>
      <w:u w:val="none"/>
    </w:rPr>
  </w:style>
  <w:style w:type="character" w:customStyle="1" w:styleId="ListLabel284">
    <w:name w:val="ListLabel 284"/>
    <w:rPr>
      <w:u w:val="none"/>
    </w:rPr>
  </w:style>
  <w:style w:type="character" w:customStyle="1" w:styleId="ListLabel285">
    <w:name w:val="ListLabel 285"/>
    <w:rPr>
      <w:u w:val="none"/>
    </w:rPr>
  </w:style>
  <w:style w:type="character" w:customStyle="1" w:styleId="ListLabel286">
    <w:name w:val="ListLabel 286"/>
    <w:rPr>
      <w:u w:val="none"/>
    </w:rPr>
  </w:style>
  <w:style w:type="character" w:customStyle="1" w:styleId="ListLabel287">
    <w:name w:val="ListLabel 287"/>
    <w:rPr>
      <w:u w:val="none"/>
    </w:rPr>
  </w:style>
  <w:style w:type="character" w:customStyle="1" w:styleId="ListLabel288">
    <w:name w:val="ListLabel 288"/>
    <w:rPr>
      <w:u w:val="none"/>
    </w:rPr>
  </w:style>
  <w:style w:type="character" w:customStyle="1" w:styleId="ListLabel289">
    <w:name w:val="ListLabel 289"/>
    <w:rPr>
      <w:u w:val="none"/>
    </w:rPr>
  </w:style>
  <w:style w:type="character" w:customStyle="1" w:styleId="ListLabel290">
    <w:name w:val="ListLabel 290"/>
    <w:rPr>
      <w:u w:val="none"/>
    </w:rPr>
  </w:style>
  <w:style w:type="character" w:customStyle="1" w:styleId="ListLabel291">
    <w:name w:val="ListLabel 291"/>
    <w:rPr>
      <w:u w:val="none"/>
    </w:rPr>
  </w:style>
  <w:style w:type="character" w:customStyle="1" w:styleId="ListLabel292">
    <w:name w:val="ListLabel 292"/>
    <w:rPr>
      <w:u w:val="none"/>
    </w:rPr>
  </w:style>
  <w:style w:type="character" w:customStyle="1" w:styleId="ListLabel293">
    <w:name w:val="ListLabel 293"/>
    <w:rPr>
      <w:u w:val="none"/>
    </w:rPr>
  </w:style>
  <w:style w:type="character" w:customStyle="1" w:styleId="ListLabel294">
    <w:name w:val="ListLabel 294"/>
    <w:rPr>
      <w:u w:val="none"/>
    </w:rPr>
  </w:style>
  <w:style w:type="character" w:customStyle="1" w:styleId="ListLabel295">
    <w:name w:val="ListLabel 295"/>
    <w:rPr>
      <w:u w:val="none"/>
    </w:rPr>
  </w:style>
  <w:style w:type="character" w:customStyle="1" w:styleId="ListLabel296">
    <w:name w:val="ListLabel 296"/>
    <w:rPr>
      <w:u w:val="none"/>
    </w:rPr>
  </w:style>
  <w:style w:type="character" w:customStyle="1" w:styleId="ListLabel297">
    <w:name w:val="ListLabel 297"/>
    <w:rPr>
      <w:u w:val="none"/>
    </w:rPr>
  </w:style>
  <w:style w:type="character" w:customStyle="1" w:styleId="ListLabel298">
    <w:name w:val="ListLabel 298"/>
    <w:rPr>
      <w:u w:val="none"/>
    </w:rPr>
  </w:style>
  <w:style w:type="character" w:customStyle="1" w:styleId="ListLabel299">
    <w:name w:val="ListLabel 299"/>
    <w:rPr>
      <w:u w:val="none"/>
    </w:rPr>
  </w:style>
  <w:style w:type="character" w:customStyle="1" w:styleId="ListLabel300">
    <w:name w:val="ListLabel 300"/>
    <w:rPr>
      <w:u w:val="none"/>
    </w:rPr>
  </w:style>
  <w:style w:type="character" w:customStyle="1" w:styleId="ListLabel301">
    <w:name w:val="ListLabel 301"/>
    <w:rPr>
      <w:u w:val="none"/>
    </w:rPr>
  </w:style>
  <w:style w:type="character" w:customStyle="1" w:styleId="ListLabel302">
    <w:name w:val="ListLabel 302"/>
    <w:rPr>
      <w:u w:val="none"/>
    </w:rPr>
  </w:style>
  <w:style w:type="character" w:customStyle="1" w:styleId="ListLabel303">
    <w:name w:val="ListLabel 303"/>
    <w:rPr>
      <w:u w:val="none"/>
    </w:rPr>
  </w:style>
  <w:style w:type="character" w:customStyle="1" w:styleId="ListLabel304">
    <w:name w:val="ListLabel 304"/>
    <w:rPr>
      <w:u w:val="none"/>
    </w:rPr>
  </w:style>
  <w:style w:type="character" w:customStyle="1" w:styleId="ListLabel305">
    <w:name w:val="ListLabel 305"/>
    <w:rPr>
      <w:u w:val="none"/>
    </w:rPr>
  </w:style>
  <w:style w:type="character" w:customStyle="1" w:styleId="ListLabel306">
    <w:name w:val="ListLabel 306"/>
    <w:rPr>
      <w:u w:val="none"/>
    </w:rPr>
  </w:style>
  <w:style w:type="character" w:customStyle="1" w:styleId="ListLabel307">
    <w:name w:val="ListLabel 307"/>
    <w:rPr>
      <w:u w:val="none"/>
    </w:rPr>
  </w:style>
  <w:style w:type="character" w:customStyle="1" w:styleId="ListLabel308">
    <w:name w:val="ListLabel 308"/>
    <w:rPr>
      <w:u w:val="none"/>
    </w:rPr>
  </w:style>
  <w:style w:type="character" w:customStyle="1" w:styleId="ListLabel309">
    <w:name w:val="ListLabel 309"/>
    <w:rPr>
      <w:u w:val="none"/>
    </w:rPr>
  </w:style>
  <w:style w:type="character" w:customStyle="1" w:styleId="ListLabel310">
    <w:name w:val="ListLabel 310"/>
    <w:rPr>
      <w:u w:val="none"/>
    </w:rPr>
  </w:style>
  <w:style w:type="character" w:customStyle="1" w:styleId="ListLabel311">
    <w:name w:val="ListLabel 311"/>
    <w:rPr>
      <w:u w:val="none"/>
    </w:rPr>
  </w:style>
  <w:style w:type="character" w:customStyle="1" w:styleId="ListLabel312">
    <w:name w:val="ListLabel 312"/>
    <w:rPr>
      <w:u w:val="none"/>
    </w:rPr>
  </w:style>
  <w:style w:type="character" w:customStyle="1" w:styleId="ListLabel313">
    <w:name w:val="ListLabel 313"/>
    <w:rPr>
      <w:u w:val="none"/>
    </w:rPr>
  </w:style>
  <w:style w:type="character" w:customStyle="1" w:styleId="ListLabel314">
    <w:name w:val="ListLabel 314"/>
    <w:rPr>
      <w:u w:val="none"/>
    </w:rPr>
  </w:style>
  <w:style w:type="character" w:customStyle="1" w:styleId="ListLabel315">
    <w:name w:val="ListLabel 315"/>
    <w:rPr>
      <w:u w:val="none"/>
    </w:rPr>
  </w:style>
  <w:style w:type="character" w:customStyle="1" w:styleId="ListLabel316">
    <w:name w:val="ListLabel 316"/>
    <w:rPr>
      <w:u w:val="none"/>
    </w:rPr>
  </w:style>
  <w:style w:type="character" w:customStyle="1" w:styleId="ListLabel317">
    <w:name w:val="ListLabel 317"/>
    <w:rPr>
      <w:u w:val="none"/>
    </w:rPr>
  </w:style>
  <w:style w:type="character" w:customStyle="1" w:styleId="ListLabel318">
    <w:name w:val="ListLabel 318"/>
    <w:rPr>
      <w:u w:val="none"/>
    </w:rPr>
  </w:style>
  <w:style w:type="character" w:customStyle="1" w:styleId="ListLabel319">
    <w:name w:val="ListLabel 319"/>
    <w:rPr>
      <w:u w:val="none"/>
    </w:rPr>
  </w:style>
  <w:style w:type="character" w:customStyle="1" w:styleId="ListLabel320">
    <w:name w:val="ListLabel 320"/>
    <w:rPr>
      <w:u w:val="none"/>
    </w:rPr>
  </w:style>
  <w:style w:type="character" w:customStyle="1" w:styleId="ListLabel321">
    <w:name w:val="ListLabel 321"/>
    <w:rPr>
      <w:u w:val="none"/>
    </w:rPr>
  </w:style>
  <w:style w:type="character" w:customStyle="1" w:styleId="ListLabel322">
    <w:name w:val="ListLabel 322"/>
    <w:rPr>
      <w:u w:val="none"/>
    </w:rPr>
  </w:style>
  <w:style w:type="character" w:customStyle="1" w:styleId="ListLabel323">
    <w:name w:val="ListLabel 323"/>
    <w:rPr>
      <w:u w:val="none"/>
    </w:rPr>
  </w:style>
  <w:style w:type="character" w:customStyle="1" w:styleId="ListLabel324">
    <w:name w:val="ListLabel 324"/>
    <w:rPr>
      <w:u w:val="none"/>
    </w:rPr>
  </w:style>
  <w:style w:type="character" w:customStyle="1" w:styleId="ListLabel325">
    <w:name w:val="ListLabel 325"/>
    <w:rPr>
      <w:u w:val="none"/>
    </w:rPr>
  </w:style>
  <w:style w:type="character" w:customStyle="1" w:styleId="ListLabel326">
    <w:name w:val="ListLabel 326"/>
    <w:rPr>
      <w:u w:val="none"/>
    </w:rPr>
  </w:style>
  <w:style w:type="character" w:customStyle="1" w:styleId="ListLabel327">
    <w:name w:val="ListLabel 327"/>
    <w:rPr>
      <w:u w:val="none"/>
    </w:rPr>
  </w:style>
  <w:style w:type="character" w:customStyle="1" w:styleId="ListLabel328">
    <w:name w:val="ListLabel 328"/>
    <w:rPr>
      <w:u w:val="none"/>
    </w:rPr>
  </w:style>
  <w:style w:type="character" w:customStyle="1" w:styleId="ListLabel329">
    <w:name w:val="ListLabel 329"/>
    <w:rPr>
      <w:u w:val="none"/>
    </w:rPr>
  </w:style>
  <w:style w:type="character" w:customStyle="1" w:styleId="ListLabel330">
    <w:name w:val="ListLabel 330"/>
    <w:rPr>
      <w:u w:val="none"/>
    </w:rPr>
  </w:style>
  <w:style w:type="character" w:customStyle="1" w:styleId="ListLabel331">
    <w:name w:val="ListLabel 331"/>
    <w:rPr>
      <w:u w:val="none"/>
    </w:rPr>
  </w:style>
  <w:style w:type="character" w:customStyle="1" w:styleId="ListLabel332">
    <w:name w:val="ListLabel 332"/>
    <w:rPr>
      <w:u w:val="none"/>
    </w:rPr>
  </w:style>
  <w:style w:type="character" w:customStyle="1" w:styleId="ListLabel333">
    <w:name w:val="ListLabel 333"/>
    <w:rPr>
      <w:u w:val="none"/>
    </w:rPr>
  </w:style>
  <w:style w:type="character" w:customStyle="1" w:styleId="ListLabel334">
    <w:name w:val="ListLabel 334"/>
    <w:rPr>
      <w:u w:val="none"/>
    </w:rPr>
  </w:style>
  <w:style w:type="character" w:customStyle="1" w:styleId="ListLabel335">
    <w:name w:val="ListLabel 335"/>
    <w:rPr>
      <w:u w:val="none"/>
    </w:rPr>
  </w:style>
  <w:style w:type="character" w:customStyle="1" w:styleId="ListLabel336">
    <w:name w:val="ListLabel 336"/>
    <w:rPr>
      <w:u w:val="none"/>
    </w:rPr>
  </w:style>
  <w:style w:type="character" w:customStyle="1" w:styleId="ListLabel337">
    <w:name w:val="ListLabel 337"/>
    <w:rPr>
      <w:u w:val="none"/>
    </w:rPr>
  </w:style>
  <w:style w:type="character" w:customStyle="1" w:styleId="ListLabel338">
    <w:name w:val="ListLabel 338"/>
    <w:rPr>
      <w:u w:val="none"/>
    </w:rPr>
  </w:style>
  <w:style w:type="character" w:customStyle="1" w:styleId="ListLabel339">
    <w:name w:val="ListLabel 339"/>
    <w:rPr>
      <w:u w:val="none"/>
    </w:rPr>
  </w:style>
  <w:style w:type="character" w:customStyle="1" w:styleId="ListLabel340">
    <w:name w:val="ListLabel 340"/>
    <w:rPr>
      <w:u w:val="none"/>
    </w:rPr>
  </w:style>
  <w:style w:type="character" w:customStyle="1" w:styleId="ListLabel341">
    <w:name w:val="ListLabel 341"/>
    <w:rPr>
      <w:u w:val="none"/>
    </w:rPr>
  </w:style>
  <w:style w:type="character" w:customStyle="1" w:styleId="ListLabel342">
    <w:name w:val="ListLabel 342"/>
    <w:rPr>
      <w:u w:val="none"/>
    </w:rPr>
  </w:style>
  <w:style w:type="character" w:customStyle="1" w:styleId="ListLabel343">
    <w:name w:val="ListLabel 343"/>
    <w:rPr>
      <w:u w:val="none"/>
    </w:rPr>
  </w:style>
  <w:style w:type="character" w:customStyle="1" w:styleId="ListLabel344">
    <w:name w:val="ListLabel 344"/>
    <w:rPr>
      <w:u w:val="none"/>
    </w:rPr>
  </w:style>
  <w:style w:type="character" w:customStyle="1" w:styleId="ListLabel345">
    <w:name w:val="ListLabel 345"/>
    <w:rPr>
      <w:u w:val="none"/>
    </w:rPr>
  </w:style>
  <w:style w:type="character" w:customStyle="1" w:styleId="ListLabel346">
    <w:name w:val="ListLabel 346"/>
    <w:rPr>
      <w:u w:val="none"/>
    </w:rPr>
  </w:style>
  <w:style w:type="character" w:customStyle="1" w:styleId="ListLabel347">
    <w:name w:val="ListLabel 347"/>
    <w:rPr>
      <w:u w:val="none"/>
    </w:rPr>
  </w:style>
  <w:style w:type="character" w:customStyle="1" w:styleId="ListLabel348">
    <w:name w:val="ListLabel 348"/>
    <w:rPr>
      <w:u w:val="none"/>
    </w:rPr>
  </w:style>
  <w:style w:type="character" w:customStyle="1" w:styleId="ListLabel349">
    <w:name w:val="ListLabel 349"/>
    <w:rPr>
      <w:u w:val="none"/>
    </w:rPr>
  </w:style>
  <w:style w:type="character" w:customStyle="1" w:styleId="ListLabel350">
    <w:name w:val="ListLabel 350"/>
    <w:rPr>
      <w:u w:val="none"/>
    </w:rPr>
  </w:style>
  <w:style w:type="character" w:customStyle="1" w:styleId="ListLabel351">
    <w:name w:val="ListLabel 351"/>
    <w:rPr>
      <w:u w:val="none"/>
    </w:rPr>
  </w:style>
  <w:style w:type="character" w:customStyle="1" w:styleId="ListLabel352">
    <w:name w:val="ListLabel 352"/>
    <w:rPr>
      <w:u w:val="none"/>
    </w:rPr>
  </w:style>
  <w:style w:type="character" w:customStyle="1" w:styleId="ListLabel353">
    <w:name w:val="ListLabel 353"/>
    <w:rPr>
      <w:u w:val="none"/>
    </w:rPr>
  </w:style>
  <w:style w:type="character" w:customStyle="1" w:styleId="ListLabel354">
    <w:name w:val="ListLabel 354"/>
    <w:rPr>
      <w:u w:val="none"/>
    </w:rPr>
  </w:style>
  <w:style w:type="character" w:customStyle="1" w:styleId="ListLabel355">
    <w:name w:val="ListLabel 355"/>
    <w:rPr>
      <w:u w:val="none"/>
    </w:rPr>
  </w:style>
  <w:style w:type="character" w:customStyle="1" w:styleId="ListLabel356">
    <w:name w:val="ListLabel 356"/>
    <w:rPr>
      <w:u w:val="none"/>
    </w:rPr>
  </w:style>
  <w:style w:type="character" w:customStyle="1" w:styleId="ListLabel357">
    <w:name w:val="ListLabel 357"/>
    <w:rPr>
      <w:u w:val="none"/>
    </w:rPr>
  </w:style>
  <w:style w:type="character" w:customStyle="1" w:styleId="ListLabel358">
    <w:name w:val="ListLabel 358"/>
    <w:rPr>
      <w:u w:val="none"/>
    </w:rPr>
  </w:style>
  <w:style w:type="character" w:customStyle="1" w:styleId="ListLabel359">
    <w:name w:val="ListLabel 359"/>
    <w:rPr>
      <w:u w:val="none"/>
    </w:rPr>
  </w:style>
  <w:style w:type="character" w:customStyle="1" w:styleId="ListLabel360">
    <w:name w:val="ListLabel 360"/>
    <w:rPr>
      <w:u w:val="none"/>
    </w:rPr>
  </w:style>
  <w:style w:type="character" w:customStyle="1" w:styleId="ListLabel361">
    <w:name w:val="ListLabel 361"/>
    <w:rPr>
      <w:u w:val="none"/>
    </w:rPr>
  </w:style>
  <w:style w:type="character" w:customStyle="1" w:styleId="ListLabel362">
    <w:name w:val="ListLabel 362"/>
    <w:rPr>
      <w:u w:val="none"/>
    </w:rPr>
  </w:style>
  <w:style w:type="character" w:customStyle="1" w:styleId="ListLabel363">
    <w:name w:val="ListLabel 363"/>
    <w:rPr>
      <w:u w:val="none"/>
    </w:rPr>
  </w:style>
  <w:style w:type="character" w:customStyle="1" w:styleId="ListLabel364">
    <w:name w:val="ListLabel 364"/>
    <w:rPr>
      <w:u w:val="none"/>
    </w:rPr>
  </w:style>
  <w:style w:type="character" w:customStyle="1" w:styleId="ListLabel365">
    <w:name w:val="ListLabel 365"/>
    <w:rPr>
      <w:u w:val="none"/>
    </w:rPr>
  </w:style>
  <w:style w:type="character" w:customStyle="1" w:styleId="ListLabel366">
    <w:name w:val="ListLabel 366"/>
    <w:rPr>
      <w:u w:val="none"/>
    </w:rPr>
  </w:style>
  <w:style w:type="character" w:customStyle="1" w:styleId="ListLabel367">
    <w:name w:val="ListLabel 367"/>
    <w:rPr>
      <w:u w:val="none"/>
    </w:rPr>
  </w:style>
  <w:style w:type="character" w:customStyle="1" w:styleId="ListLabel368">
    <w:name w:val="ListLabel 368"/>
    <w:rPr>
      <w:u w:val="none"/>
    </w:rPr>
  </w:style>
  <w:style w:type="character" w:customStyle="1" w:styleId="ListLabel369">
    <w:name w:val="ListLabel 369"/>
    <w:rPr>
      <w:u w:val="none"/>
    </w:rPr>
  </w:style>
  <w:style w:type="character" w:customStyle="1" w:styleId="ListLabel370">
    <w:name w:val="ListLabel 370"/>
    <w:rPr>
      <w:u w:val="none"/>
    </w:rPr>
  </w:style>
  <w:style w:type="character" w:customStyle="1" w:styleId="ListLabel371">
    <w:name w:val="ListLabel 371"/>
    <w:rPr>
      <w:u w:val="none"/>
    </w:rPr>
  </w:style>
  <w:style w:type="character" w:customStyle="1" w:styleId="ListLabel372">
    <w:name w:val="ListLabel 372"/>
    <w:rPr>
      <w:u w:val="none"/>
    </w:rPr>
  </w:style>
  <w:style w:type="character" w:customStyle="1" w:styleId="ListLabel373">
    <w:name w:val="ListLabel 373"/>
    <w:rPr>
      <w:u w:val="none"/>
    </w:rPr>
  </w:style>
  <w:style w:type="character" w:customStyle="1" w:styleId="ListLabel374">
    <w:name w:val="ListLabel 374"/>
    <w:rPr>
      <w:u w:val="none"/>
    </w:rPr>
  </w:style>
  <w:style w:type="character" w:customStyle="1" w:styleId="ListLabel375">
    <w:name w:val="ListLabel 375"/>
    <w:rPr>
      <w:u w:val="none"/>
    </w:rPr>
  </w:style>
  <w:style w:type="character" w:customStyle="1" w:styleId="ListLabel376">
    <w:name w:val="ListLabel 376"/>
    <w:rPr>
      <w:u w:val="none"/>
    </w:rPr>
  </w:style>
  <w:style w:type="character" w:customStyle="1" w:styleId="ListLabel377">
    <w:name w:val="ListLabel 377"/>
    <w:rPr>
      <w:u w:val="none"/>
    </w:rPr>
  </w:style>
  <w:style w:type="character" w:customStyle="1" w:styleId="ListLabel378">
    <w:name w:val="ListLabel 378"/>
    <w:rPr>
      <w:u w:val="none"/>
    </w:rPr>
  </w:style>
  <w:style w:type="character" w:customStyle="1" w:styleId="ListLabel379">
    <w:name w:val="ListLabel 379"/>
    <w:rPr>
      <w:u w:val="none"/>
    </w:rPr>
  </w:style>
  <w:style w:type="character" w:customStyle="1" w:styleId="ListLabel380">
    <w:name w:val="ListLabel 380"/>
    <w:rPr>
      <w:u w:val="none"/>
    </w:rPr>
  </w:style>
  <w:style w:type="character" w:customStyle="1" w:styleId="ListLabel381">
    <w:name w:val="ListLabel 381"/>
    <w:rPr>
      <w:u w:val="none"/>
    </w:rPr>
  </w:style>
  <w:style w:type="character" w:customStyle="1" w:styleId="ListLabel382">
    <w:name w:val="ListLabel 382"/>
    <w:rPr>
      <w:u w:val="none"/>
    </w:rPr>
  </w:style>
  <w:style w:type="character" w:customStyle="1" w:styleId="ListLabel383">
    <w:name w:val="ListLabel 383"/>
    <w:rPr>
      <w:u w:val="none"/>
    </w:rPr>
  </w:style>
  <w:style w:type="character" w:customStyle="1" w:styleId="ListLabel384">
    <w:name w:val="ListLabel 384"/>
    <w:rPr>
      <w:u w:val="none"/>
    </w:rPr>
  </w:style>
  <w:style w:type="character" w:customStyle="1" w:styleId="ListLabel385">
    <w:name w:val="ListLabel 385"/>
    <w:rPr>
      <w:u w:val="none"/>
    </w:rPr>
  </w:style>
  <w:style w:type="character" w:customStyle="1" w:styleId="ListLabel386">
    <w:name w:val="ListLabel 386"/>
    <w:rPr>
      <w:u w:val="none"/>
    </w:rPr>
  </w:style>
  <w:style w:type="character" w:customStyle="1" w:styleId="ListLabel387">
    <w:name w:val="ListLabel 387"/>
    <w:rPr>
      <w:u w:val="none"/>
    </w:rPr>
  </w:style>
  <w:style w:type="character" w:customStyle="1" w:styleId="ListLabel388">
    <w:name w:val="ListLabel 388"/>
    <w:rPr>
      <w:u w:val="none"/>
    </w:rPr>
  </w:style>
  <w:style w:type="character" w:customStyle="1" w:styleId="ListLabel389">
    <w:name w:val="ListLabel 389"/>
    <w:rPr>
      <w:u w:val="none"/>
    </w:rPr>
  </w:style>
  <w:style w:type="character" w:customStyle="1" w:styleId="ListLabel390">
    <w:name w:val="ListLabel 390"/>
    <w:rPr>
      <w:u w:val="none"/>
    </w:rPr>
  </w:style>
  <w:style w:type="character" w:customStyle="1" w:styleId="ListLabel391">
    <w:name w:val="ListLabel 391"/>
    <w:rPr>
      <w:u w:val="none"/>
    </w:rPr>
  </w:style>
  <w:style w:type="character" w:customStyle="1" w:styleId="ListLabel392">
    <w:name w:val="ListLabel 392"/>
    <w:rPr>
      <w:u w:val="none"/>
    </w:rPr>
  </w:style>
  <w:style w:type="character" w:customStyle="1" w:styleId="ListLabel393">
    <w:name w:val="ListLabel 393"/>
    <w:rPr>
      <w:u w:val="none"/>
    </w:rPr>
  </w:style>
  <w:style w:type="character" w:customStyle="1" w:styleId="ListLabel394">
    <w:name w:val="ListLabel 394"/>
    <w:rPr>
      <w:u w:val="none"/>
    </w:rPr>
  </w:style>
  <w:style w:type="character" w:customStyle="1" w:styleId="ListLabel395">
    <w:name w:val="ListLabel 395"/>
    <w:rPr>
      <w:u w:val="none"/>
    </w:rPr>
  </w:style>
  <w:style w:type="character" w:customStyle="1" w:styleId="ListLabel396">
    <w:name w:val="ListLabel 396"/>
    <w:rPr>
      <w:u w:val="none"/>
    </w:rPr>
  </w:style>
  <w:style w:type="character" w:customStyle="1" w:styleId="ListLabel397">
    <w:name w:val="ListLabel 397"/>
    <w:rPr>
      <w:u w:val="none"/>
    </w:rPr>
  </w:style>
  <w:style w:type="character" w:customStyle="1" w:styleId="ListLabel398">
    <w:name w:val="ListLabel 398"/>
    <w:rPr>
      <w:u w:val="none"/>
    </w:rPr>
  </w:style>
  <w:style w:type="character" w:customStyle="1" w:styleId="ListLabel399">
    <w:name w:val="ListLabel 399"/>
    <w:rPr>
      <w:u w:val="none"/>
    </w:rPr>
  </w:style>
  <w:style w:type="character" w:customStyle="1" w:styleId="ListLabel400">
    <w:name w:val="ListLabel 400"/>
    <w:rPr>
      <w:u w:val="none"/>
    </w:rPr>
  </w:style>
  <w:style w:type="character" w:customStyle="1" w:styleId="ListLabel401">
    <w:name w:val="ListLabel 401"/>
    <w:rPr>
      <w:u w:val="none"/>
    </w:rPr>
  </w:style>
  <w:style w:type="character" w:customStyle="1" w:styleId="ListLabel402">
    <w:name w:val="ListLabel 402"/>
    <w:rPr>
      <w:u w:val="none"/>
    </w:rPr>
  </w:style>
  <w:style w:type="character" w:customStyle="1" w:styleId="ListLabel403">
    <w:name w:val="ListLabel 403"/>
    <w:rPr>
      <w:u w:val="none"/>
    </w:rPr>
  </w:style>
  <w:style w:type="character" w:customStyle="1" w:styleId="ListLabel404">
    <w:name w:val="ListLabel 404"/>
    <w:rPr>
      <w:u w:val="none"/>
    </w:rPr>
  </w:style>
  <w:style w:type="character" w:customStyle="1" w:styleId="ListLabel405">
    <w:name w:val="ListLabel 405"/>
    <w:rPr>
      <w:u w:val="none"/>
    </w:rPr>
  </w:style>
  <w:style w:type="character" w:customStyle="1" w:styleId="ListLabel406">
    <w:name w:val="ListLabel 406"/>
    <w:rPr>
      <w:u w:val="none"/>
    </w:rPr>
  </w:style>
  <w:style w:type="character" w:customStyle="1" w:styleId="ListLabel407">
    <w:name w:val="ListLabel 407"/>
    <w:rPr>
      <w:u w:val="none"/>
    </w:rPr>
  </w:style>
  <w:style w:type="character" w:customStyle="1" w:styleId="ListLabel408">
    <w:name w:val="ListLabel 408"/>
    <w:rPr>
      <w:u w:val="none"/>
    </w:rPr>
  </w:style>
  <w:style w:type="character" w:customStyle="1" w:styleId="ListLabel409">
    <w:name w:val="ListLabel 409"/>
    <w:rPr>
      <w:u w:val="none"/>
    </w:rPr>
  </w:style>
  <w:style w:type="character" w:customStyle="1" w:styleId="ListLabel410">
    <w:name w:val="ListLabel 410"/>
    <w:rPr>
      <w:u w:val="none"/>
    </w:rPr>
  </w:style>
  <w:style w:type="character" w:customStyle="1" w:styleId="ListLabel411">
    <w:name w:val="ListLabel 411"/>
    <w:rPr>
      <w:u w:val="none"/>
    </w:rPr>
  </w:style>
  <w:style w:type="character" w:customStyle="1" w:styleId="ListLabel412">
    <w:name w:val="ListLabel 412"/>
    <w:rPr>
      <w:u w:val="none"/>
    </w:rPr>
  </w:style>
  <w:style w:type="character" w:customStyle="1" w:styleId="ListLabel413">
    <w:name w:val="ListLabel 413"/>
    <w:rPr>
      <w:u w:val="none"/>
    </w:rPr>
  </w:style>
  <w:style w:type="character" w:customStyle="1" w:styleId="ListLabel414">
    <w:name w:val="ListLabel 414"/>
    <w:rPr>
      <w:u w:val="none"/>
    </w:rPr>
  </w:style>
  <w:style w:type="character" w:customStyle="1" w:styleId="ListLabel415">
    <w:name w:val="ListLabel 415"/>
    <w:rPr>
      <w:u w:val="none"/>
    </w:rPr>
  </w:style>
  <w:style w:type="character" w:customStyle="1" w:styleId="ListLabel416">
    <w:name w:val="ListLabel 416"/>
    <w:rPr>
      <w:u w:val="none"/>
    </w:rPr>
  </w:style>
  <w:style w:type="character" w:customStyle="1" w:styleId="ListLabel417">
    <w:name w:val="ListLabel 417"/>
    <w:rPr>
      <w:u w:val="none"/>
    </w:rPr>
  </w:style>
  <w:style w:type="character" w:customStyle="1" w:styleId="ListLabel418">
    <w:name w:val="ListLabel 418"/>
    <w:rPr>
      <w:u w:val="none"/>
    </w:rPr>
  </w:style>
  <w:style w:type="character" w:customStyle="1" w:styleId="ListLabel419">
    <w:name w:val="ListLabel 419"/>
    <w:rPr>
      <w:u w:val="none"/>
    </w:rPr>
  </w:style>
  <w:style w:type="character" w:customStyle="1" w:styleId="ListLabel420">
    <w:name w:val="ListLabel 420"/>
    <w:rPr>
      <w:u w:val="none"/>
    </w:rPr>
  </w:style>
  <w:style w:type="character" w:customStyle="1" w:styleId="ListLabel421">
    <w:name w:val="ListLabel 421"/>
    <w:rPr>
      <w:u w:val="none"/>
    </w:rPr>
  </w:style>
  <w:style w:type="character" w:customStyle="1" w:styleId="ListLabel422">
    <w:name w:val="ListLabel 422"/>
    <w:rPr>
      <w:u w:val="none"/>
    </w:rPr>
  </w:style>
  <w:style w:type="character" w:customStyle="1" w:styleId="ListLabel423">
    <w:name w:val="ListLabel 423"/>
    <w:rPr>
      <w:u w:val="none"/>
    </w:rPr>
  </w:style>
  <w:style w:type="character" w:customStyle="1" w:styleId="ListLabel424">
    <w:name w:val="ListLabel 424"/>
    <w:rPr>
      <w:u w:val="none"/>
    </w:rPr>
  </w:style>
  <w:style w:type="character" w:customStyle="1" w:styleId="ListLabel425">
    <w:name w:val="ListLabel 425"/>
    <w:rPr>
      <w:u w:val="none"/>
    </w:rPr>
  </w:style>
  <w:style w:type="character" w:customStyle="1" w:styleId="ListLabel426">
    <w:name w:val="ListLabel 426"/>
    <w:rPr>
      <w:u w:val="none"/>
    </w:rPr>
  </w:style>
  <w:style w:type="character" w:customStyle="1" w:styleId="ListLabel427">
    <w:name w:val="ListLabel 427"/>
    <w:rPr>
      <w:u w:val="none"/>
    </w:rPr>
  </w:style>
  <w:style w:type="character" w:customStyle="1" w:styleId="ListLabel428">
    <w:name w:val="ListLabel 428"/>
    <w:rPr>
      <w:u w:val="none"/>
    </w:rPr>
  </w:style>
  <w:style w:type="character" w:customStyle="1" w:styleId="ListLabel429">
    <w:name w:val="ListLabel 429"/>
    <w:rPr>
      <w:u w:val="none"/>
    </w:rPr>
  </w:style>
  <w:style w:type="character" w:customStyle="1" w:styleId="ListLabel430">
    <w:name w:val="ListLabel 430"/>
    <w:rPr>
      <w:u w:val="none"/>
    </w:rPr>
  </w:style>
  <w:style w:type="character" w:customStyle="1" w:styleId="ListLabel431">
    <w:name w:val="ListLabel 431"/>
    <w:rPr>
      <w:u w:val="none"/>
    </w:rPr>
  </w:style>
  <w:style w:type="character" w:customStyle="1" w:styleId="ListLabel432">
    <w:name w:val="ListLabel 432"/>
    <w:rPr>
      <w:u w:val="none"/>
    </w:rPr>
  </w:style>
  <w:style w:type="character" w:customStyle="1" w:styleId="ListLabel433">
    <w:name w:val="ListLabel 433"/>
    <w:rPr>
      <w:u w:val="none"/>
    </w:rPr>
  </w:style>
  <w:style w:type="character" w:customStyle="1" w:styleId="ListLabel434">
    <w:name w:val="ListLabel 434"/>
    <w:rPr>
      <w:u w:val="none"/>
    </w:rPr>
  </w:style>
  <w:style w:type="character" w:customStyle="1" w:styleId="ListLabel435">
    <w:name w:val="ListLabel 435"/>
    <w:rPr>
      <w:u w:val="none"/>
    </w:rPr>
  </w:style>
  <w:style w:type="character" w:customStyle="1" w:styleId="ListLabel436">
    <w:name w:val="ListLabel 436"/>
    <w:rPr>
      <w:u w:val="none"/>
    </w:rPr>
  </w:style>
  <w:style w:type="character" w:customStyle="1" w:styleId="ListLabel437">
    <w:name w:val="ListLabel 437"/>
    <w:rPr>
      <w:u w:val="none"/>
    </w:rPr>
  </w:style>
  <w:style w:type="character" w:customStyle="1" w:styleId="ListLabel438">
    <w:name w:val="ListLabel 438"/>
    <w:rPr>
      <w:u w:val="none"/>
    </w:rPr>
  </w:style>
  <w:style w:type="character" w:customStyle="1" w:styleId="ListLabel439">
    <w:name w:val="ListLabel 439"/>
    <w:rPr>
      <w:u w:val="none"/>
    </w:rPr>
  </w:style>
  <w:style w:type="character" w:customStyle="1" w:styleId="ListLabel440">
    <w:name w:val="ListLabel 440"/>
    <w:rPr>
      <w:u w:val="none"/>
    </w:rPr>
  </w:style>
  <w:style w:type="character" w:customStyle="1" w:styleId="ListLabel441">
    <w:name w:val="ListLabel 441"/>
    <w:rPr>
      <w:u w:val="none"/>
    </w:rPr>
  </w:style>
  <w:style w:type="character" w:customStyle="1" w:styleId="ListLabel442">
    <w:name w:val="ListLabel 442"/>
    <w:rPr>
      <w:u w:val="none"/>
    </w:rPr>
  </w:style>
  <w:style w:type="character" w:customStyle="1" w:styleId="ListLabel443">
    <w:name w:val="ListLabel 443"/>
    <w:rPr>
      <w:u w:val="none"/>
    </w:rPr>
  </w:style>
  <w:style w:type="character" w:customStyle="1" w:styleId="ListLabel444">
    <w:name w:val="ListLabel 444"/>
    <w:rPr>
      <w:u w:val="none"/>
    </w:rPr>
  </w:style>
  <w:style w:type="character" w:customStyle="1" w:styleId="ListLabel445">
    <w:name w:val="ListLabel 445"/>
    <w:rPr>
      <w:u w:val="none"/>
    </w:rPr>
  </w:style>
  <w:style w:type="character" w:customStyle="1" w:styleId="ListLabel446">
    <w:name w:val="ListLabel 446"/>
    <w:rPr>
      <w:u w:val="none"/>
    </w:rPr>
  </w:style>
  <w:style w:type="character" w:customStyle="1" w:styleId="ListLabel447">
    <w:name w:val="ListLabel 447"/>
    <w:rPr>
      <w:u w:val="none"/>
    </w:rPr>
  </w:style>
  <w:style w:type="character" w:customStyle="1" w:styleId="ListLabel448">
    <w:name w:val="ListLabel 448"/>
    <w:rPr>
      <w:u w:val="none"/>
    </w:rPr>
  </w:style>
  <w:style w:type="character" w:customStyle="1" w:styleId="ListLabel449">
    <w:name w:val="ListLabel 449"/>
    <w:rPr>
      <w:u w:val="none"/>
    </w:rPr>
  </w:style>
  <w:style w:type="character" w:customStyle="1" w:styleId="ListLabel450">
    <w:name w:val="ListLabel 450"/>
    <w:rPr>
      <w:u w:val="none"/>
    </w:rPr>
  </w:style>
  <w:style w:type="character" w:customStyle="1" w:styleId="ListLabel451">
    <w:name w:val="ListLabel 451"/>
    <w:rPr>
      <w:u w:val="none"/>
    </w:rPr>
  </w:style>
  <w:style w:type="character" w:customStyle="1" w:styleId="ListLabel452">
    <w:name w:val="ListLabel 452"/>
    <w:rPr>
      <w:u w:val="none"/>
    </w:rPr>
  </w:style>
  <w:style w:type="character" w:customStyle="1" w:styleId="ListLabel453">
    <w:name w:val="ListLabel 453"/>
    <w:rPr>
      <w:u w:val="none"/>
    </w:rPr>
  </w:style>
  <w:style w:type="character" w:customStyle="1" w:styleId="ListLabel454">
    <w:name w:val="ListLabel 454"/>
    <w:rPr>
      <w:u w:val="none"/>
    </w:rPr>
  </w:style>
  <w:style w:type="character" w:customStyle="1" w:styleId="ListLabel455">
    <w:name w:val="ListLabel 455"/>
    <w:rPr>
      <w:u w:val="none"/>
    </w:rPr>
  </w:style>
  <w:style w:type="character" w:customStyle="1" w:styleId="ListLabel456">
    <w:name w:val="ListLabel 456"/>
    <w:rPr>
      <w:u w:val="none"/>
    </w:rPr>
  </w:style>
  <w:style w:type="character" w:customStyle="1" w:styleId="ListLabel457">
    <w:name w:val="ListLabel 457"/>
    <w:rPr>
      <w:u w:val="none"/>
    </w:rPr>
  </w:style>
  <w:style w:type="character" w:customStyle="1" w:styleId="ListLabel458">
    <w:name w:val="ListLabel 458"/>
    <w:rPr>
      <w:u w:val="none"/>
    </w:rPr>
  </w:style>
  <w:style w:type="character" w:customStyle="1" w:styleId="ListLabel459">
    <w:name w:val="ListLabel 459"/>
    <w:rPr>
      <w:u w:val="none"/>
    </w:rPr>
  </w:style>
  <w:style w:type="character" w:customStyle="1" w:styleId="ListLabel460">
    <w:name w:val="ListLabel 460"/>
    <w:rPr>
      <w:u w:val="none"/>
    </w:rPr>
  </w:style>
  <w:style w:type="character" w:customStyle="1" w:styleId="ListLabel461">
    <w:name w:val="ListLabel 461"/>
    <w:rPr>
      <w:u w:val="none"/>
    </w:rPr>
  </w:style>
  <w:style w:type="character" w:customStyle="1" w:styleId="ListLabel462">
    <w:name w:val="ListLabel 462"/>
    <w:rPr>
      <w:u w:val="none"/>
    </w:rPr>
  </w:style>
  <w:style w:type="character" w:customStyle="1" w:styleId="ListLabel463">
    <w:name w:val="ListLabel 463"/>
    <w:rPr>
      <w:u w:val="none"/>
    </w:rPr>
  </w:style>
  <w:style w:type="character" w:customStyle="1" w:styleId="ListLabel464">
    <w:name w:val="ListLabel 464"/>
    <w:rPr>
      <w:u w:val="none"/>
    </w:rPr>
  </w:style>
  <w:style w:type="character" w:customStyle="1" w:styleId="ListLabel465">
    <w:name w:val="ListLabel 465"/>
    <w:rPr>
      <w:u w:val="none"/>
    </w:rPr>
  </w:style>
  <w:style w:type="character" w:customStyle="1" w:styleId="ListLabel466">
    <w:name w:val="ListLabel 466"/>
    <w:rPr>
      <w:u w:val="none"/>
    </w:rPr>
  </w:style>
  <w:style w:type="character" w:customStyle="1" w:styleId="ListLabel467">
    <w:name w:val="ListLabel 467"/>
    <w:rPr>
      <w:u w:val="none"/>
    </w:rPr>
  </w:style>
  <w:style w:type="character" w:customStyle="1" w:styleId="ListLabel468">
    <w:name w:val="ListLabel 468"/>
    <w:rPr>
      <w:u w:val="none"/>
    </w:rPr>
  </w:style>
  <w:style w:type="character" w:customStyle="1" w:styleId="IndexLink">
    <w:name w:val="Index Link"/>
  </w:style>
  <w:style w:type="paragraph" w:styleId="TOC1">
    <w:name w:val="toc 1"/>
    <w:basedOn w:val="Normal"/>
    <w:next w:val="Normal"/>
    <w:autoRedefine/>
    <w:pPr>
      <w:tabs>
        <w:tab w:val="right" w:leader="dot" w:pos="9016"/>
      </w:tabs>
      <w:spacing w:after="100"/>
    </w:pPr>
    <w:rPr>
      <w:rFonts w:cs="Mangal"/>
      <w:szCs w:val="20"/>
    </w:rPr>
  </w:style>
  <w:style w:type="character" w:styleId="Hyperlink">
    <w:name w:val="Hyperlink"/>
    <w:basedOn w:val="DefaultParagraphFont"/>
    <w:rPr>
      <w:color w:val="0563C1"/>
      <w:u w:val="single"/>
    </w:rPr>
  </w:style>
  <w:style w:type="character" w:styleId="Emphasis">
    <w:name w:val="Emphasis"/>
    <w:basedOn w:val="DefaultParagraphFont"/>
    <w:rPr>
      <w:i/>
      <w:iCs/>
    </w:rPr>
  </w:style>
  <w:style w:type="paragraph" w:customStyle="1" w:styleId="MarginText">
    <w:name w:val="Margin Text"/>
    <w:basedOn w:val="Normal"/>
    <w:pPr>
      <w:keepNext/>
      <w:spacing w:before="240" w:after="120"/>
      <w:ind w:left="142"/>
      <w:jc w:val="both"/>
      <w:textAlignment w:val="auto"/>
    </w:pPr>
    <w:rPr>
      <w:rFonts w:eastAsia="STZhongsong" w:cs="Times New Roman"/>
      <w:sz w:val="18"/>
      <w:szCs w:val="18"/>
      <w:lang w:bidi="ar-SA"/>
    </w:rPr>
  </w:style>
  <w:style w:type="paragraph" w:styleId="TOC2">
    <w:name w:val="toc 2"/>
    <w:basedOn w:val="Normal"/>
    <w:next w:val="Normal"/>
    <w:autoRedefine/>
    <w:pPr>
      <w:spacing w:after="100"/>
      <w:ind w:left="220"/>
    </w:pPr>
    <w:rPr>
      <w:rFonts w:cs="Mangal"/>
      <w:szCs w:val="20"/>
    </w:rPr>
  </w:style>
  <w:style w:type="paragraph" w:styleId="TOC3">
    <w:name w:val="toc 3"/>
    <w:basedOn w:val="Normal"/>
    <w:next w:val="Normal"/>
    <w:autoRedefine/>
    <w:pPr>
      <w:spacing w:after="100"/>
      <w:ind w:left="440"/>
    </w:pPr>
    <w:rPr>
      <w:rFonts w:cs="Mangal"/>
      <w:szCs w:val="20"/>
    </w:rPr>
  </w:style>
  <w:style w:type="paragraph" w:styleId="TOC4">
    <w:name w:val="toc 4"/>
    <w:basedOn w:val="Normal"/>
    <w:next w:val="Normal"/>
    <w:autoRedefine/>
    <w:pPr>
      <w:spacing w:after="100"/>
      <w:ind w:left="660"/>
    </w:pPr>
    <w:rPr>
      <w:rFonts w:cs="Mangal"/>
      <w:szCs w:val="20"/>
    </w:rPr>
  </w:style>
  <w:style w:type="paragraph" w:styleId="BodyTextIndent">
    <w:name w:val="Body Text Indent"/>
    <w:basedOn w:val="Normal"/>
    <w:pPr>
      <w:overflowPunct w:val="0"/>
      <w:autoSpaceDE w:val="0"/>
      <w:spacing w:after="240"/>
      <w:ind w:left="720"/>
      <w:jc w:val="both"/>
    </w:pPr>
    <w:rPr>
      <w:rFonts w:ascii="Trebuchet MS" w:eastAsia="Trebuchet MS" w:hAnsi="Trebuchet MS"/>
      <w:lang w:eastAsia="en-US" w:bidi="ar-SA"/>
    </w:rPr>
  </w:style>
  <w:style w:type="character" w:customStyle="1" w:styleId="BodyTextIndentChar">
    <w:name w:val="Body Text Indent Char"/>
    <w:basedOn w:val="DefaultParagraphFont"/>
    <w:rPr>
      <w:rFonts w:ascii="Trebuchet MS" w:eastAsia="Trebuchet MS" w:hAnsi="Trebuchet MS"/>
      <w:lang w:eastAsia="en-US" w:bidi="ar-SA"/>
    </w:rPr>
  </w:style>
  <w:style w:type="paragraph" w:customStyle="1" w:styleId="Guidancenoteparagraphtext">
    <w:name w:val="Guidance note paragraph text"/>
    <w:basedOn w:val="MarginText"/>
    <w:pPr>
      <w:keepNext w:val="0"/>
      <w:overflowPunct w:val="0"/>
      <w:autoSpaceDE w:val="0"/>
      <w:spacing w:before="0" w:after="240"/>
      <w:ind w:left="709"/>
      <w:textAlignment w:val="baseline"/>
    </w:pPr>
    <w:rPr>
      <w:rFonts w:cs="Arial"/>
      <w:b/>
      <w:i/>
      <w:color w:val="000000"/>
      <w:sz w:val="20"/>
      <w:szCs w:val="24"/>
    </w:rPr>
  </w:style>
  <w:style w:type="character" w:customStyle="1" w:styleId="GuidancenoteparagraphtextChar">
    <w:name w:val="Guidance note paragraph text Char"/>
    <w:rPr>
      <w:rFonts w:eastAsia="STZhongsong"/>
      <w:b/>
      <w:i/>
      <w:color w:val="000000"/>
      <w:sz w:val="20"/>
      <w:szCs w:val="24"/>
      <w:lang w:bidi="ar-SA"/>
    </w:rPr>
  </w:style>
  <w:style w:type="paragraph" w:customStyle="1" w:styleId="GPsDefinition">
    <w:name w:val="GPs Definition"/>
    <w:basedOn w:val="Normal"/>
    <w:pPr>
      <w:tabs>
        <w:tab w:val="left" w:pos="5"/>
      </w:tabs>
      <w:overflowPunct w:val="0"/>
      <w:autoSpaceDE w:val="0"/>
      <w:spacing w:after="120"/>
      <w:jc w:val="both"/>
    </w:pPr>
    <w:rPr>
      <w:rFonts w:ascii="Calibri" w:eastAsia="Times New Roman" w:hAnsi="Calibri"/>
      <w:lang w:eastAsia="en-US" w:bidi="ar-SA"/>
    </w:r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57"/>
      </w:numPr>
    </w:p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LFO9">
    <w:name w:val="LFO9"/>
    <w:basedOn w:val="NoList"/>
    <w:pPr>
      <w:numPr>
        <w:numId w:val="1"/>
      </w:numPr>
    </w:pPr>
  </w:style>
  <w:style w:type="numbering" w:customStyle="1" w:styleId="NoList1">
    <w:name w:val="No List_1"/>
    <w:basedOn w:val="NoList"/>
    <w:pPr>
      <w:numPr>
        <w:numId w:val="2"/>
      </w:numPr>
    </w:pPr>
  </w:style>
  <w:style w:type="numbering" w:customStyle="1" w:styleId="CCSListStyle">
    <w:name w:val="CCS List Style"/>
    <w:basedOn w:val="NoList"/>
    <w:pPr>
      <w:numPr>
        <w:numId w:val="3"/>
      </w:numPr>
    </w:pPr>
  </w:style>
  <w:style w:type="numbering" w:customStyle="1" w:styleId="LFO12">
    <w:name w:val="LFO12"/>
    <w:basedOn w:val="NoList"/>
    <w:pPr>
      <w:numPr>
        <w:numId w:val="4"/>
      </w:numPr>
    </w:pPr>
  </w:style>
  <w:style w:type="numbering" w:customStyle="1" w:styleId="WWNum1">
    <w:name w:val="WWNum1"/>
    <w:basedOn w:val="NoList"/>
    <w:pPr>
      <w:numPr>
        <w:numId w:val="5"/>
      </w:numPr>
    </w:pPr>
  </w:style>
  <w:style w:type="numbering" w:customStyle="1" w:styleId="WWNum2">
    <w:name w:val="WWNum2"/>
    <w:basedOn w:val="NoList"/>
    <w:pPr>
      <w:numPr>
        <w:numId w:val="6"/>
      </w:numPr>
    </w:pPr>
  </w:style>
  <w:style w:type="numbering" w:customStyle="1" w:styleId="WWNum3">
    <w:name w:val="WWNum3"/>
    <w:basedOn w:val="NoList"/>
    <w:pPr>
      <w:numPr>
        <w:numId w:val="7"/>
      </w:numPr>
    </w:pPr>
  </w:style>
  <w:style w:type="numbering" w:customStyle="1" w:styleId="WWNum4">
    <w:name w:val="WWNum4"/>
    <w:basedOn w:val="NoList"/>
    <w:pPr>
      <w:numPr>
        <w:numId w:val="8"/>
      </w:numPr>
    </w:pPr>
  </w:style>
  <w:style w:type="numbering" w:customStyle="1" w:styleId="WWNum5">
    <w:name w:val="WWNum5"/>
    <w:basedOn w:val="NoList"/>
    <w:pPr>
      <w:numPr>
        <w:numId w:val="9"/>
      </w:numPr>
    </w:pPr>
  </w:style>
  <w:style w:type="numbering" w:customStyle="1" w:styleId="WWNum6">
    <w:name w:val="WWNum6"/>
    <w:basedOn w:val="NoList"/>
    <w:pPr>
      <w:numPr>
        <w:numId w:val="10"/>
      </w:numPr>
    </w:pPr>
  </w:style>
  <w:style w:type="numbering" w:customStyle="1" w:styleId="WWNum7">
    <w:name w:val="WWNum7"/>
    <w:basedOn w:val="NoList"/>
    <w:pPr>
      <w:numPr>
        <w:numId w:val="11"/>
      </w:numPr>
    </w:pPr>
  </w:style>
  <w:style w:type="numbering" w:customStyle="1" w:styleId="WWNum8">
    <w:name w:val="WWNum8"/>
    <w:basedOn w:val="NoList"/>
    <w:pPr>
      <w:numPr>
        <w:numId w:val="12"/>
      </w:numPr>
    </w:pPr>
  </w:style>
  <w:style w:type="numbering" w:customStyle="1" w:styleId="WWNum9">
    <w:name w:val="WWNum9"/>
    <w:basedOn w:val="NoList"/>
    <w:pPr>
      <w:numPr>
        <w:numId w:val="13"/>
      </w:numPr>
    </w:pPr>
  </w:style>
  <w:style w:type="numbering" w:customStyle="1" w:styleId="WWNum10">
    <w:name w:val="WWNum10"/>
    <w:basedOn w:val="NoList"/>
    <w:pPr>
      <w:numPr>
        <w:numId w:val="14"/>
      </w:numPr>
    </w:pPr>
  </w:style>
  <w:style w:type="numbering" w:customStyle="1" w:styleId="WWNum11">
    <w:name w:val="WWNum11"/>
    <w:basedOn w:val="NoList"/>
    <w:pPr>
      <w:numPr>
        <w:numId w:val="15"/>
      </w:numPr>
    </w:pPr>
  </w:style>
  <w:style w:type="numbering" w:customStyle="1" w:styleId="WWNum12">
    <w:name w:val="WWNum12"/>
    <w:basedOn w:val="NoList"/>
    <w:pPr>
      <w:numPr>
        <w:numId w:val="16"/>
      </w:numPr>
    </w:pPr>
  </w:style>
  <w:style w:type="numbering" w:customStyle="1" w:styleId="WWNum13">
    <w:name w:val="WWNum13"/>
    <w:basedOn w:val="NoList"/>
    <w:pPr>
      <w:numPr>
        <w:numId w:val="17"/>
      </w:numPr>
    </w:pPr>
  </w:style>
  <w:style w:type="numbering" w:customStyle="1" w:styleId="WWNum14">
    <w:name w:val="WWNum14"/>
    <w:basedOn w:val="NoList"/>
    <w:pPr>
      <w:numPr>
        <w:numId w:val="18"/>
      </w:numPr>
    </w:pPr>
  </w:style>
  <w:style w:type="numbering" w:customStyle="1" w:styleId="WWNum15">
    <w:name w:val="WWNum15"/>
    <w:basedOn w:val="NoList"/>
    <w:pPr>
      <w:numPr>
        <w:numId w:val="19"/>
      </w:numPr>
    </w:pPr>
  </w:style>
  <w:style w:type="numbering" w:customStyle="1" w:styleId="WWNum16">
    <w:name w:val="WWNum16"/>
    <w:basedOn w:val="NoList"/>
    <w:pPr>
      <w:numPr>
        <w:numId w:val="20"/>
      </w:numPr>
    </w:pPr>
  </w:style>
  <w:style w:type="numbering" w:customStyle="1" w:styleId="WWNum17">
    <w:name w:val="WWNum17"/>
    <w:basedOn w:val="NoList"/>
    <w:pPr>
      <w:numPr>
        <w:numId w:val="21"/>
      </w:numPr>
    </w:pPr>
  </w:style>
  <w:style w:type="numbering" w:customStyle="1" w:styleId="WWNum18">
    <w:name w:val="WWNum18"/>
    <w:basedOn w:val="NoList"/>
    <w:pPr>
      <w:numPr>
        <w:numId w:val="22"/>
      </w:numPr>
    </w:pPr>
  </w:style>
  <w:style w:type="numbering" w:customStyle="1" w:styleId="WWNum19">
    <w:name w:val="WWNum19"/>
    <w:basedOn w:val="NoList"/>
    <w:pPr>
      <w:numPr>
        <w:numId w:val="23"/>
      </w:numPr>
    </w:pPr>
  </w:style>
  <w:style w:type="numbering" w:customStyle="1" w:styleId="WWNum20">
    <w:name w:val="WWNum20"/>
    <w:basedOn w:val="NoList"/>
    <w:pPr>
      <w:numPr>
        <w:numId w:val="24"/>
      </w:numPr>
    </w:pPr>
  </w:style>
  <w:style w:type="numbering" w:customStyle="1" w:styleId="WWNum21">
    <w:name w:val="WWNum21"/>
    <w:basedOn w:val="NoList"/>
    <w:pPr>
      <w:numPr>
        <w:numId w:val="25"/>
      </w:numPr>
    </w:pPr>
  </w:style>
  <w:style w:type="numbering" w:customStyle="1" w:styleId="WWNum22">
    <w:name w:val="WWNum22"/>
    <w:basedOn w:val="NoList"/>
    <w:pPr>
      <w:numPr>
        <w:numId w:val="26"/>
      </w:numPr>
    </w:pPr>
  </w:style>
  <w:style w:type="numbering" w:customStyle="1" w:styleId="WWNum23">
    <w:name w:val="WWNum23"/>
    <w:basedOn w:val="NoList"/>
    <w:pPr>
      <w:numPr>
        <w:numId w:val="27"/>
      </w:numPr>
    </w:pPr>
  </w:style>
  <w:style w:type="numbering" w:customStyle="1" w:styleId="WWNum24">
    <w:name w:val="WWNum24"/>
    <w:basedOn w:val="NoList"/>
    <w:pPr>
      <w:numPr>
        <w:numId w:val="28"/>
      </w:numPr>
    </w:pPr>
  </w:style>
  <w:style w:type="numbering" w:customStyle="1" w:styleId="WWNum25">
    <w:name w:val="WWNum25"/>
    <w:basedOn w:val="NoList"/>
    <w:pPr>
      <w:numPr>
        <w:numId w:val="29"/>
      </w:numPr>
    </w:pPr>
  </w:style>
  <w:style w:type="numbering" w:customStyle="1" w:styleId="WWNum26">
    <w:name w:val="WWNum26"/>
    <w:basedOn w:val="NoList"/>
    <w:pPr>
      <w:numPr>
        <w:numId w:val="30"/>
      </w:numPr>
    </w:pPr>
  </w:style>
  <w:style w:type="numbering" w:customStyle="1" w:styleId="WWNum27">
    <w:name w:val="WWNum27"/>
    <w:basedOn w:val="NoList"/>
    <w:pPr>
      <w:numPr>
        <w:numId w:val="31"/>
      </w:numPr>
    </w:pPr>
  </w:style>
  <w:style w:type="numbering" w:customStyle="1" w:styleId="WWNum28">
    <w:name w:val="WWNum28"/>
    <w:basedOn w:val="NoList"/>
    <w:pPr>
      <w:numPr>
        <w:numId w:val="32"/>
      </w:numPr>
    </w:pPr>
  </w:style>
  <w:style w:type="numbering" w:customStyle="1" w:styleId="WWNum29">
    <w:name w:val="WWNum29"/>
    <w:basedOn w:val="NoList"/>
    <w:pPr>
      <w:numPr>
        <w:numId w:val="33"/>
      </w:numPr>
    </w:pPr>
  </w:style>
  <w:style w:type="numbering" w:customStyle="1" w:styleId="WWNum30">
    <w:name w:val="WWNum30"/>
    <w:basedOn w:val="NoList"/>
    <w:pPr>
      <w:numPr>
        <w:numId w:val="34"/>
      </w:numPr>
    </w:pPr>
  </w:style>
  <w:style w:type="numbering" w:customStyle="1" w:styleId="WWNum31">
    <w:name w:val="WWNum31"/>
    <w:basedOn w:val="NoList"/>
    <w:pPr>
      <w:numPr>
        <w:numId w:val="35"/>
      </w:numPr>
    </w:pPr>
  </w:style>
  <w:style w:type="numbering" w:customStyle="1" w:styleId="WWNum32">
    <w:name w:val="WWNum32"/>
    <w:basedOn w:val="NoList"/>
    <w:pPr>
      <w:numPr>
        <w:numId w:val="36"/>
      </w:numPr>
    </w:pPr>
  </w:style>
  <w:style w:type="numbering" w:customStyle="1" w:styleId="WWNum33">
    <w:name w:val="WWNum33"/>
    <w:basedOn w:val="NoList"/>
    <w:pPr>
      <w:numPr>
        <w:numId w:val="37"/>
      </w:numPr>
    </w:pPr>
  </w:style>
  <w:style w:type="numbering" w:customStyle="1" w:styleId="WWNum34">
    <w:name w:val="WWNum34"/>
    <w:basedOn w:val="NoList"/>
    <w:pPr>
      <w:numPr>
        <w:numId w:val="38"/>
      </w:numPr>
    </w:pPr>
  </w:style>
  <w:style w:type="numbering" w:customStyle="1" w:styleId="WWNum35">
    <w:name w:val="WWNum35"/>
    <w:basedOn w:val="NoList"/>
    <w:pPr>
      <w:numPr>
        <w:numId w:val="39"/>
      </w:numPr>
    </w:pPr>
  </w:style>
  <w:style w:type="numbering" w:customStyle="1" w:styleId="WWNum36">
    <w:name w:val="WWNum36"/>
    <w:basedOn w:val="NoList"/>
    <w:pPr>
      <w:numPr>
        <w:numId w:val="40"/>
      </w:numPr>
    </w:pPr>
  </w:style>
  <w:style w:type="numbering" w:customStyle="1" w:styleId="WWNum37">
    <w:name w:val="WWNum37"/>
    <w:basedOn w:val="NoList"/>
    <w:pPr>
      <w:numPr>
        <w:numId w:val="41"/>
      </w:numPr>
    </w:pPr>
  </w:style>
  <w:style w:type="numbering" w:customStyle="1" w:styleId="WWNum38">
    <w:name w:val="WWNum38"/>
    <w:basedOn w:val="NoList"/>
    <w:pPr>
      <w:numPr>
        <w:numId w:val="42"/>
      </w:numPr>
    </w:pPr>
  </w:style>
  <w:style w:type="numbering" w:customStyle="1" w:styleId="WWNum39">
    <w:name w:val="WWNum39"/>
    <w:basedOn w:val="NoList"/>
    <w:pPr>
      <w:numPr>
        <w:numId w:val="43"/>
      </w:numPr>
    </w:pPr>
  </w:style>
  <w:style w:type="numbering" w:customStyle="1" w:styleId="WWNum40">
    <w:name w:val="WWNum40"/>
    <w:basedOn w:val="NoList"/>
    <w:pPr>
      <w:numPr>
        <w:numId w:val="44"/>
      </w:numPr>
    </w:pPr>
  </w:style>
  <w:style w:type="numbering" w:customStyle="1" w:styleId="WWNum41">
    <w:name w:val="WWNum41"/>
    <w:basedOn w:val="NoList"/>
    <w:pPr>
      <w:numPr>
        <w:numId w:val="45"/>
      </w:numPr>
    </w:pPr>
  </w:style>
  <w:style w:type="numbering" w:customStyle="1" w:styleId="WWNum42">
    <w:name w:val="WWNum42"/>
    <w:basedOn w:val="NoList"/>
    <w:pPr>
      <w:numPr>
        <w:numId w:val="46"/>
      </w:numPr>
    </w:pPr>
  </w:style>
  <w:style w:type="numbering" w:customStyle="1" w:styleId="WWNum43">
    <w:name w:val="WWNum43"/>
    <w:basedOn w:val="NoList"/>
    <w:pPr>
      <w:numPr>
        <w:numId w:val="47"/>
      </w:numPr>
    </w:pPr>
  </w:style>
  <w:style w:type="numbering" w:customStyle="1" w:styleId="WWNum44">
    <w:name w:val="WWNum44"/>
    <w:basedOn w:val="NoList"/>
    <w:pPr>
      <w:numPr>
        <w:numId w:val="48"/>
      </w:numPr>
    </w:pPr>
  </w:style>
  <w:style w:type="numbering" w:customStyle="1" w:styleId="WWNum45">
    <w:name w:val="WWNum45"/>
    <w:basedOn w:val="NoList"/>
    <w:pPr>
      <w:numPr>
        <w:numId w:val="49"/>
      </w:numPr>
    </w:pPr>
  </w:style>
  <w:style w:type="numbering" w:customStyle="1" w:styleId="WWNum46">
    <w:name w:val="WWNum46"/>
    <w:basedOn w:val="NoList"/>
    <w:pPr>
      <w:numPr>
        <w:numId w:val="50"/>
      </w:numPr>
    </w:pPr>
  </w:style>
  <w:style w:type="numbering" w:customStyle="1" w:styleId="WWNum47">
    <w:name w:val="WWNum47"/>
    <w:basedOn w:val="NoList"/>
    <w:pPr>
      <w:numPr>
        <w:numId w:val="51"/>
      </w:numPr>
    </w:pPr>
  </w:style>
  <w:style w:type="numbering" w:customStyle="1" w:styleId="WWNum48">
    <w:name w:val="WWNum48"/>
    <w:basedOn w:val="NoList"/>
    <w:pPr>
      <w:numPr>
        <w:numId w:val="52"/>
      </w:numPr>
    </w:pPr>
  </w:style>
  <w:style w:type="numbering" w:customStyle="1" w:styleId="WWNum49">
    <w:name w:val="WWNum49"/>
    <w:basedOn w:val="NoList"/>
    <w:pPr>
      <w:numPr>
        <w:numId w:val="53"/>
      </w:numPr>
    </w:pPr>
  </w:style>
  <w:style w:type="numbering" w:customStyle="1" w:styleId="WWNum50">
    <w:name w:val="WWNum50"/>
    <w:basedOn w:val="NoList"/>
    <w:pPr>
      <w:numPr>
        <w:numId w:val="54"/>
      </w:numPr>
    </w:pPr>
  </w:style>
  <w:style w:type="numbering" w:customStyle="1" w:styleId="WWNum51">
    <w:name w:val="WWNum51"/>
    <w:basedOn w:val="NoList"/>
    <w:pPr>
      <w:numPr>
        <w:numId w:val="55"/>
      </w:numPr>
    </w:pPr>
  </w:style>
  <w:style w:type="numbering" w:customStyle="1" w:styleId="WWNum52">
    <w:name w:val="WWNum52"/>
    <w:basedOn w:val="NoList"/>
    <w:pPr>
      <w:numPr>
        <w:numId w:val="56"/>
      </w:numPr>
    </w:pPr>
  </w:style>
  <w:style w:type="numbering" w:customStyle="1" w:styleId="LFO58">
    <w:name w:val="LFO58"/>
    <w:basedOn w:val="NoList"/>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9054</Words>
  <Characters>51611</Characters>
  <Application>Microsoft Office Word</Application>
  <DocSecurity>4</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Jonathan Wotman</cp:lastModifiedBy>
  <cp:revision>2</cp:revision>
  <dcterms:created xsi:type="dcterms:W3CDTF">2023-08-07T15:25:00Z</dcterms:created>
  <dcterms:modified xsi:type="dcterms:W3CDTF">2023-08-07T15:25:00Z</dcterms:modified>
</cp:coreProperties>
</file>